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52"/>
          <w:lang w:val="en-US" w:eastAsia="zh-CN"/>
        </w:rPr>
      </w:pPr>
      <w:r>
        <w:rPr>
          <w:rFonts w:hint="eastAsia" w:ascii="方正小标宋简体" w:hAnsi="方正小标宋简体" w:eastAsia="方正小标宋简体" w:cs="方正小标宋简体"/>
          <w:b w:val="0"/>
          <w:bCs w:val="0"/>
          <w:sz w:val="44"/>
          <w:szCs w:val="52"/>
          <w:lang w:val="en-US" w:eastAsia="zh-CN"/>
        </w:rPr>
        <w:t>湖南湘村电子商务有限公司关于合同纠纷诉讼代理服务标的三的采购公告</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本次采购项目名称</w:t>
      </w:r>
      <w:r>
        <w:rPr>
          <w:rFonts w:hint="eastAsia" w:ascii="仿宋" w:hAnsi="仿宋" w:eastAsia="仿宋" w:cs="仿宋"/>
          <w:b w:val="0"/>
          <w:bCs w:val="0"/>
          <w:sz w:val="28"/>
          <w:szCs w:val="36"/>
          <w:u w:val="single"/>
          <w:lang w:val="en-US" w:eastAsia="zh-CN"/>
        </w:rPr>
        <w:t>湖南湘村电子商务有限公司</w:t>
      </w:r>
      <w:r>
        <w:rPr>
          <w:rFonts w:hint="eastAsia" w:ascii="仿宋" w:hAnsi="仿宋" w:eastAsia="仿宋" w:cs="仿宋"/>
          <w:b w:val="0"/>
          <w:bCs w:val="0"/>
          <w:sz w:val="28"/>
          <w:szCs w:val="28"/>
          <w:u w:val="single"/>
          <w:lang w:val="en-US" w:eastAsia="zh-CN"/>
        </w:rPr>
        <w:t>合同纠纷诉讼代理服务标的三</w:t>
      </w:r>
      <w:r>
        <w:rPr>
          <w:rFonts w:hint="eastAsia" w:ascii="仿宋" w:hAnsi="仿宋" w:eastAsia="仿宋" w:cs="仿宋"/>
          <w:b w:val="0"/>
          <w:bCs w:val="0"/>
          <w:sz w:val="28"/>
          <w:szCs w:val="28"/>
          <w:u w:val="none"/>
          <w:lang w:val="en-US" w:eastAsia="zh-CN"/>
        </w:rPr>
        <w:t>，资金来自自筹（资金来源），采购人为</w:t>
      </w:r>
      <w:r>
        <w:rPr>
          <w:rFonts w:hint="eastAsia" w:ascii="仿宋" w:hAnsi="仿宋" w:eastAsia="仿宋" w:cs="仿宋"/>
          <w:b w:val="0"/>
          <w:bCs w:val="0"/>
          <w:sz w:val="28"/>
          <w:szCs w:val="36"/>
          <w:u w:val="none"/>
          <w:lang w:val="en-US" w:eastAsia="zh-CN"/>
        </w:rPr>
        <w:t>湖南湘村电子商务有限公司</w:t>
      </w:r>
      <w:r>
        <w:rPr>
          <w:rFonts w:hint="eastAsia" w:ascii="仿宋" w:hAnsi="仿宋" w:eastAsia="仿宋" w:cs="仿宋"/>
          <w:b w:val="0"/>
          <w:bCs w:val="0"/>
          <w:sz w:val="28"/>
          <w:szCs w:val="28"/>
          <w:u w:val="none"/>
          <w:lang w:val="en-US" w:eastAsia="zh-CN"/>
        </w:rPr>
        <w:t>。</w:t>
      </w:r>
      <w:r>
        <w:rPr>
          <w:rFonts w:hint="eastAsia" w:ascii="仿宋" w:hAnsi="仿宋" w:eastAsia="仿宋" w:cs="仿宋"/>
          <w:b w:val="0"/>
          <w:bCs w:val="0"/>
          <w:sz w:val="28"/>
          <w:szCs w:val="28"/>
          <w:lang w:val="en-US" w:eastAsia="zh-CN"/>
        </w:rPr>
        <w:t>项目已具备采购条件，现对该项目的合同纠纷诉讼代理服务进行公开采购。</w:t>
      </w:r>
    </w:p>
    <w:p>
      <w:pPr>
        <w:keepNext w:val="0"/>
        <w:keepLines w:val="0"/>
        <w:pageBreakBefore w:val="0"/>
        <w:widowControl w:val="0"/>
        <w:numPr>
          <w:ilvl w:val="0"/>
          <w:numId w:val="0"/>
        </w:numPr>
        <w:kinsoku/>
        <w:wordWrap/>
        <w:overflowPunct/>
        <w:topLinePunct w:val="0"/>
        <w:autoSpaceDE/>
        <w:autoSpaceDN/>
        <w:bidi w:val="0"/>
        <w:spacing w:line="240" w:lineRule="auto"/>
        <w:ind w:leftChars="200"/>
        <w:jc w:val="both"/>
        <w:textAlignment w:val="auto"/>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一、案情简介</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default" w:ascii="仿宋" w:hAnsi="仿宋" w:eastAsia="仿宋" w:cs="仿宋"/>
          <w:b w:val="0"/>
          <w:bCs w:val="0"/>
          <w:sz w:val="28"/>
          <w:szCs w:val="28"/>
          <w:highlight w:val="yellow"/>
          <w:u w:val="none"/>
          <w:lang w:val="en-US" w:eastAsia="zh-CN"/>
        </w:rPr>
      </w:pPr>
      <w:r>
        <w:rPr>
          <w:rFonts w:hint="eastAsia" w:ascii="仿宋" w:hAnsi="仿宋" w:eastAsia="仿宋" w:cs="仿宋"/>
          <w:b w:val="0"/>
          <w:bCs w:val="0"/>
          <w:sz w:val="28"/>
          <w:szCs w:val="36"/>
          <w:lang w:val="en-US" w:eastAsia="zh-CN"/>
        </w:rPr>
        <w:t>湖南湘村电子商务有限公司</w:t>
      </w:r>
      <w:r>
        <w:rPr>
          <w:rFonts w:hint="eastAsia" w:ascii="仿宋" w:hAnsi="仿宋" w:eastAsia="仿宋" w:cs="仿宋"/>
          <w:b w:val="0"/>
          <w:bCs w:val="0"/>
          <w:sz w:val="28"/>
          <w:szCs w:val="28"/>
          <w:lang w:val="en-US" w:eastAsia="zh-CN"/>
        </w:rPr>
        <w:t>（下称“电商公司”）与</w:t>
      </w:r>
      <w:r>
        <w:rPr>
          <w:rFonts w:hint="eastAsia" w:ascii="仿宋" w:hAnsi="仿宋" w:eastAsia="仿宋" w:cs="仿宋"/>
          <w:b w:val="0"/>
          <w:bCs w:val="0"/>
          <w:sz w:val="28"/>
          <w:szCs w:val="28"/>
          <w:u w:val="none"/>
          <w:lang w:val="en-US" w:eastAsia="zh-CN"/>
        </w:rPr>
        <w:t>xx公司</w:t>
      </w:r>
      <w:r>
        <w:rPr>
          <w:rFonts w:hint="eastAsia" w:ascii="仿宋" w:hAnsi="仿宋" w:eastAsia="仿宋" w:cs="仿宋"/>
          <w:b w:val="0"/>
          <w:bCs w:val="0"/>
          <w:sz w:val="28"/>
          <w:szCs w:val="28"/>
          <w:lang w:val="en-US" w:eastAsia="zh-CN"/>
        </w:rPr>
        <w:t>于2021年底开始开展贸易业务，并签订相关协议。</w:t>
      </w:r>
      <w:r>
        <w:rPr>
          <w:rFonts w:hint="eastAsia" w:ascii="仿宋" w:hAnsi="仿宋" w:eastAsia="仿宋" w:cs="仿宋"/>
          <w:b w:val="0"/>
          <w:bCs w:val="0"/>
          <w:sz w:val="28"/>
          <w:szCs w:val="28"/>
          <w:u w:val="none"/>
          <w:lang w:val="en-US" w:eastAsia="zh-CN"/>
        </w:rPr>
        <w:t>但xx公司现有多笔款项逾期未清偿，经多次催款无果，现公司拟通过诉讼方式一次性追回全部欠款。诉讼标的金额：约人民币2611万元（具体以实际计算金额为准）。</w:t>
      </w:r>
    </w:p>
    <w:p>
      <w:pPr>
        <w:keepNext w:val="0"/>
        <w:keepLines w:val="0"/>
        <w:pageBreakBefore w:val="0"/>
        <w:widowControl w:val="0"/>
        <w:numPr>
          <w:ilvl w:val="0"/>
          <w:numId w:val="1"/>
        </w:numPr>
        <w:kinsoku/>
        <w:wordWrap/>
        <w:overflowPunct/>
        <w:topLinePunct w:val="0"/>
        <w:autoSpaceDE/>
        <w:autoSpaceDN/>
        <w:bidi w:val="0"/>
        <w:spacing w:line="240" w:lineRule="auto"/>
        <w:ind w:left="0" w:leftChars="0"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采购服务内容及要求</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（一）采购服务名称：</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36"/>
          <w:u w:val="single"/>
          <w:lang w:val="en-US" w:eastAsia="zh-CN"/>
        </w:rPr>
        <w:t>湖南湘村电子商务有限公司</w:t>
      </w:r>
      <w:r>
        <w:rPr>
          <w:rFonts w:hint="eastAsia" w:ascii="仿宋" w:hAnsi="仿宋" w:eastAsia="仿宋" w:cs="仿宋"/>
          <w:b w:val="0"/>
          <w:bCs w:val="0"/>
          <w:sz w:val="28"/>
          <w:szCs w:val="28"/>
          <w:u w:val="single"/>
          <w:lang w:val="en-US" w:eastAsia="zh-CN"/>
        </w:rPr>
        <w:t>合同纠纷诉讼代理服务标的三</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2" w:firstLineChars="200"/>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服务说明：《根据中华人民共和国招投标管理办法》及集团、资产管理公司相关规定制度，及经营管理服务采购要求，拟采取竞争性谈判采购。</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2" w:firstLineChars="200"/>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u w:val="none"/>
          <w:lang w:val="en-US" w:eastAsia="zh-CN"/>
        </w:rPr>
        <w:t>采购方：湖南湘村电子商务有限公司</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2" w:firstLineChars="200"/>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u w:val="none"/>
          <w:lang w:val="en-US" w:eastAsia="zh-CN"/>
        </w:rPr>
        <w:t>采购服务金额上限</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服务费用总额上限不超过人民币叁拾伍万元（小写￥350000.00），具体由两部分组成：固定金额基本代理费上限4.3万元+风险代理费上限按实现债权金额的3%即30.7万元。</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2" w:firstLineChars="200"/>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u w:val="none"/>
          <w:lang w:val="en-US" w:eastAsia="zh-CN"/>
        </w:rPr>
        <w:t>服务期限</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代理服务合同签订之日起</w:t>
      </w:r>
      <w:r>
        <w:rPr>
          <w:rFonts w:hint="eastAsia" w:ascii="仿宋" w:hAnsi="仿宋" w:eastAsia="仿宋" w:cs="仿宋"/>
          <w:sz w:val="28"/>
          <w:szCs w:val="28"/>
        </w:rPr>
        <w:t>至</w:t>
      </w:r>
      <w:r>
        <w:rPr>
          <w:rFonts w:hint="eastAsia" w:ascii="仿宋" w:hAnsi="仿宋" w:eastAsia="仿宋" w:cs="仿宋"/>
          <w:sz w:val="28"/>
          <w:szCs w:val="28"/>
          <w:lang w:val="en-US" w:eastAsia="zh-CN"/>
        </w:rPr>
        <w:t>案件执行</w:t>
      </w:r>
      <w:r>
        <w:rPr>
          <w:rFonts w:hint="eastAsia" w:ascii="仿宋" w:hAnsi="仿宋" w:eastAsia="仿宋" w:cs="仿宋"/>
          <w:sz w:val="28"/>
          <w:szCs w:val="28"/>
        </w:rPr>
        <w:t>终结为止</w:t>
      </w:r>
      <w:r>
        <w:rPr>
          <w:rFonts w:hint="eastAsia" w:ascii="仿宋" w:hAnsi="仿宋" w:eastAsia="仿宋" w:cs="仿宋"/>
          <w:b w:val="0"/>
          <w:bCs w:val="0"/>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2" w:firstLineChars="200"/>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u w:val="none"/>
          <w:lang w:val="en-US" w:eastAsia="zh-CN"/>
        </w:rPr>
        <w:t>服务内容</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针对案件提供包括但不限于下列服务：制定诉讼方案、全面收集调取证据、准备起诉资料、诉讼保全、立案、代理一审诉讼、</w:t>
      </w:r>
      <w:r>
        <w:rPr>
          <w:rFonts w:hint="eastAsia" w:ascii="仿宋" w:hAnsi="仿宋" w:eastAsia="仿宋" w:cs="仿宋"/>
          <w:sz w:val="28"/>
          <w:szCs w:val="28"/>
        </w:rPr>
        <w:t>二审、重审（若有）、再审 （若有）、执行等全过程以及</w:t>
      </w:r>
      <w:r>
        <w:rPr>
          <w:rFonts w:hint="eastAsia" w:ascii="仿宋" w:hAnsi="仿宋" w:eastAsia="仿宋" w:cs="仿宋"/>
          <w:sz w:val="28"/>
          <w:szCs w:val="28"/>
          <w:lang w:eastAsia="zh-CN"/>
        </w:rPr>
        <w:t>按采购方要求</w:t>
      </w:r>
      <w:r>
        <w:rPr>
          <w:rFonts w:hint="eastAsia" w:ascii="仿宋" w:hAnsi="仿宋" w:eastAsia="仿宋" w:cs="仿宋"/>
          <w:sz w:val="28"/>
          <w:szCs w:val="28"/>
        </w:rPr>
        <w:t>参与谈判、和解、调解等事宜，</w:t>
      </w:r>
      <w:r>
        <w:rPr>
          <w:rFonts w:hint="eastAsia" w:ascii="仿宋" w:hAnsi="仿宋" w:eastAsia="仿宋" w:cs="仿宋"/>
          <w:b w:val="0"/>
          <w:bCs w:val="0"/>
          <w:sz w:val="28"/>
          <w:szCs w:val="28"/>
          <w:u w:val="none"/>
          <w:lang w:val="en-US" w:eastAsia="zh-CN"/>
        </w:rPr>
        <w:t>直至案件终结</w:t>
      </w:r>
      <w:r>
        <w:rPr>
          <w:rFonts w:hint="eastAsia" w:ascii="仿宋" w:hAnsi="仿宋" w:eastAsia="仿宋" w:cs="仿宋"/>
          <w:sz w:val="28"/>
          <w:szCs w:val="28"/>
        </w:rPr>
        <w:t>为止</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u w:val="none"/>
          <w:lang w:val="en-US" w:eastAsia="zh-CN"/>
        </w:rPr>
        <w:t>报价方式</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u w:val="none"/>
          <w:lang w:val="en-US" w:eastAsia="zh-CN"/>
        </w:rPr>
        <w:t>报价形式按固定金额基本代理费+风险代理费，其中风险代理费以实现债</w:t>
      </w:r>
      <w:r>
        <w:rPr>
          <w:rFonts w:hint="eastAsia" w:ascii="仿宋" w:hAnsi="仿宋" w:eastAsia="仿宋" w:cs="仿宋"/>
          <w:b w:val="0"/>
          <w:bCs w:val="0"/>
          <w:sz w:val="28"/>
          <w:szCs w:val="28"/>
          <w:highlight w:val="none"/>
          <w:u w:val="none"/>
          <w:lang w:val="en-US" w:eastAsia="zh-CN"/>
        </w:rPr>
        <w:t>权金额为基数做费率报价的（具体参照报价函格式）。各个单项均不得超过上限价及上限费率，否则做废弃报价处理。</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诉讼过程中，相关行政、司法、鉴定、公证及其他专业顾问等部门收取的费用，主要为诉讼费、仲裁费、鉴定费、检验费、评估费、公证费、查档费等，由采购人支付，或中标律所可事先经申报采购方同意后先期垫付，事后凭票由采购人报销支付</w:t>
      </w:r>
      <w:r>
        <w:rPr>
          <w:rFonts w:hint="eastAsia" w:ascii="仿宋" w:hAnsi="仿宋" w:eastAsia="仿宋" w:cs="仿宋"/>
          <w:b w:val="0"/>
          <w:bCs w:val="0"/>
          <w:sz w:val="28"/>
          <w:szCs w:val="28"/>
          <w:highlight w:val="none"/>
          <w:u w:val="none"/>
          <w:lang w:val="zh-CN" w:eastAsia="zh-CN"/>
        </w:rPr>
        <w:t>。</w:t>
      </w:r>
      <w:r>
        <w:rPr>
          <w:rFonts w:hint="eastAsia" w:ascii="仿宋" w:hAnsi="仿宋" w:eastAsia="仿宋" w:cs="仿宋"/>
          <w:b w:val="0"/>
          <w:bCs w:val="0"/>
          <w:sz w:val="28"/>
          <w:szCs w:val="28"/>
          <w:highlight w:val="none"/>
          <w:u w:val="none"/>
          <w:lang w:val="en-US" w:eastAsia="zh-CN"/>
        </w:rPr>
        <w:t>因服务业务的需要，中标律所资料复印装订费、外出差旅费等由中标律所自行负责，不另计费用。</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bCs/>
          <w:sz w:val="28"/>
          <w:szCs w:val="28"/>
          <w:highlight w:val="none"/>
          <w:u w:val="none"/>
          <w:lang w:val="en-US" w:eastAsia="zh-CN"/>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u w:val="none"/>
          <w:lang w:val="en-US" w:eastAsia="zh-CN"/>
        </w:rPr>
        <w:t>付款方式</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default" w:ascii="仿宋" w:hAnsi="仿宋" w:eastAsia="仿宋" w:cs="仿宋"/>
          <w:b w:val="0"/>
          <w:bCs w:val="0"/>
          <w:sz w:val="28"/>
          <w:szCs w:val="28"/>
          <w:highlight w:val="none"/>
          <w:u w:val="none"/>
          <w:lang w:val="en-US" w:eastAsia="zh-CN"/>
        </w:rPr>
      </w:pPr>
      <w:r>
        <w:rPr>
          <w:rFonts w:hint="default" w:ascii="仿宋" w:hAnsi="仿宋" w:eastAsia="仿宋" w:cs="仿宋"/>
          <w:b w:val="0"/>
          <w:bCs w:val="0"/>
          <w:sz w:val="28"/>
          <w:szCs w:val="28"/>
          <w:highlight w:val="none"/>
          <w:u w:val="none"/>
          <w:lang w:val="en-US" w:eastAsia="zh-CN"/>
        </w:rPr>
        <w:t>1</w:t>
      </w:r>
      <w:r>
        <w:rPr>
          <w:rFonts w:hint="eastAsia" w:ascii="仿宋" w:hAnsi="仿宋" w:eastAsia="仿宋" w:cs="仿宋"/>
          <w:b w:val="0"/>
          <w:bCs w:val="0"/>
          <w:sz w:val="28"/>
          <w:szCs w:val="28"/>
          <w:highlight w:val="none"/>
          <w:u w:val="none"/>
          <w:lang w:val="en-US" w:eastAsia="zh-CN"/>
        </w:rPr>
        <w:t>、</w:t>
      </w:r>
      <w:r>
        <w:rPr>
          <w:rFonts w:hint="default" w:ascii="仿宋" w:hAnsi="仿宋" w:eastAsia="仿宋" w:cs="仿宋"/>
          <w:b w:val="0"/>
          <w:bCs w:val="0"/>
          <w:sz w:val="28"/>
          <w:szCs w:val="28"/>
          <w:highlight w:val="none"/>
          <w:u w:val="none"/>
          <w:lang w:val="en-US" w:eastAsia="zh-CN"/>
        </w:rPr>
        <w:t>合同签订后</w:t>
      </w:r>
      <w:r>
        <w:rPr>
          <w:rFonts w:hint="eastAsia" w:ascii="仿宋" w:hAnsi="仿宋" w:eastAsia="仿宋" w:cs="仿宋"/>
          <w:b w:val="0"/>
          <w:bCs w:val="0"/>
          <w:sz w:val="28"/>
          <w:szCs w:val="28"/>
          <w:highlight w:val="none"/>
          <w:u w:val="none"/>
          <w:lang w:val="en-US" w:eastAsia="zh-CN"/>
        </w:rPr>
        <w:t>，采购人发函确认案件启动诉讼流程之时，</w:t>
      </w:r>
      <w:r>
        <w:rPr>
          <w:rFonts w:hint="default" w:ascii="仿宋" w:hAnsi="仿宋" w:eastAsia="仿宋" w:cs="仿宋"/>
          <w:b w:val="0"/>
          <w:bCs w:val="0"/>
          <w:sz w:val="28"/>
          <w:szCs w:val="28"/>
          <w:highlight w:val="none"/>
          <w:u w:val="none"/>
          <w:lang w:val="en-US" w:eastAsia="zh-CN"/>
        </w:rPr>
        <w:t>支付</w:t>
      </w:r>
      <w:r>
        <w:rPr>
          <w:rFonts w:hint="eastAsia" w:ascii="仿宋" w:hAnsi="仿宋" w:eastAsia="仿宋" w:cs="仿宋"/>
          <w:b w:val="0"/>
          <w:bCs w:val="0"/>
          <w:sz w:val="28"/>
          <w:szCs w:val="28"/>
          <w:highlight w:val="none"/>
          <w:u w:val="none"/>
          <w:lang w:val="en-US" w:eastAsia="zh-CN"/>
        </w:rPr>
        <w:t>该项案件基本</w:t>
      </w:r>
      <w:r>
        <w:rPr>
          <w:rFonts w:hint="default" w:ascii="仿宋" w:hAnsi="仿宋" w:eastAsia="仿宋" w:cs="仿宋"/>
          <w:b w:val="0"/>
          <w:bCs w:val="0"/>
          <w:sz w:val="28"/>
          <w:szCs w:val="28"/>
          <w:highlight w:val="none"/>
          <w:u w:val="none"/>
          <w:lang w:val="en-US" w:eastAsia="zh-CN"/>
        </w:rPr>
        <w:t>代理费</w:t>
      </w:r>
      <w:r>
        <w:rPr>
          <w:rFonts w:hint="eastAsia" w:ascii="仿宋" w:hAnsi="仿宋" w:eastAsia="仿宋" w:cs="仿宋"/>
          <w:b w:val="0"/>
          <w:bCs w:val="0"/>
          <w:sz w:val="28"/>
          <w:szCs w:val="28"/>
          <w:highlight w:val="none"/>
          <w:u w:val="none"/>
          <w:lang w:val="en-US" w:eastAsia="zh-CN"/>
        </w:rPr>
        <w:t>的30%。</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default" w:ascii="仿宋" w:hAnsi="仿宋" w:eastAsia="仿宋" w:cs="仿宋"/>
          <w:b w:val="0"/>
          <w:bCs w:val="0"/>
          <w:sz w:val="28"/>
          <w:szCs w:val="28"/>
          <w:highlight w:val="none"/>
          <w:u w:val="none"/>
          <w:lang w:val="en-US" w:eastAsia="zh-CN"/>
        </w:rPr>
      </w:pPr>
      <w:r>
        <w:rPr>
          <w:rFonts w:hint="default" w:ascii="仿宋" w:hAnsi="仿宋" w:eastAsia="仿宋" w:cs="仿宋"/>
          <w:b w:val="0"/>
          <w:bCs w:val="0"/>
          <w:sz w:val="28"/>
          <w:szCs w:val="28"/>
          <w:highlight w:val="none"/>
          <w:u w:val="none"/>
          <w:lang w:val="en-US" w:eastAsia="zh-CN"/>
        </w:rPr>
        <w:t>2</w:t>
      </w:r>
      <w:r>
        <w:rPr>
          <w:rFonts w:hint="eastAsia" w:ascii="仿宋" w:hAnsi="仿宋" w:eastAsia="仿宋" w:cs="仿宋"/>
          <w:b w:val="0"/>
          <w:bCs w:val="0"/>
          <w:sz w:val="28"/>
          <w:szCs w:val="28"/>
          <w:highlight w:val="none"/>
          <w:u w:val="none"/>
          <w:lang w:val="en-US" w:eastAsia="zh-CN"/>
        </w:rPr>
        <w:t>、按采购人要求完成案件财产保全措施（含相关抵押手续）</w:t>
      </w:r>
      <w:r>
        <w:rPr>
          <w:rFonts w:hint="default" w:ascii="仿宋" w:hAnsi="仿宋" w:eastAsia="仿宋" w:cs="仿宋"/>
          <w:b w:val="0"/>
          <w:bCs w:val="0"/>
          <w:sz w:val="28"/>
          <w:szCs w:val="28"/>
          <w:highlight w:val="none"/>
          <w:u w:val="none"/>
          <w:lang w:val="en-US" w:eastAsia="zh-CN"/>
        </w:rPr>
        <w:t>后，支付</w:t>
      </w:r>
      <w:r>
        <w:rPr>
          <w:rFonts w:hint="eastAsia" w:ascii="仿宋" w:hAnsi="仿宋" w:eastAsia="仿宋" w:cs="仿宋"/>
          <w:b w:val="0"/>
          <w:bCs w:val="0"/>
          <w:sz w:val="28"/>
          <w:szCs w:val="28"/>
          <w:highlight w:val="none"/>
          <w:u w:val="none"/>
          <w:lang w:val="en-US" w:eastAsia="zh-CN"/>
        </w:rPr>
        <w:t>该项案件基本</w:t>
      </w:r>
      <w:r>
        <w:rPr>
          <w:rFonts w:hint="default" w:ascii="仿宋" w:hAnsi="仿宋" w:eastAsia="仿宋" w:cs="仿宋"/>
          <w:b w:val="0"/>
          <w:bCs w:val="0"/>
          <w:sz w:val="28"/>
          <w:szCs w:val="28"/>
          <w:highlight w:val="none"/>
          <w:u w:val="none"/>
          <w:lang w:val="en-US" w:eastAsia="zh-CN"/>
        </w:rPr>
        <w:t>代理费</w:t>
      </w:r>
      <w:r>
        <w:rPr>
          <w:rFonts w:hint="eastAsia" w:ascii="仿宋" w:hAnsi="仿宋" w:eastAsia="仿宋" w:cs="仿宋"/>
          <w:b w:val="0"/>
          <w:bCs w:val="0"/>
          <w:sz w:val="28"/>
          <w:szCs w:val="28"/>
          <w:highlight w:val="none"/>
          <w:u w:val="none"/>
          <w:lang w:val="en-US" w:eastAsia="zh-CN"/>
        </w:rPr>
        <w:t>的30%。</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default"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3、案件</w:t>
      </w:r>
      <w:r>
        <w:rPr>
          <w:rFonts w:hint="default" w:ascii="仿宋" w:hAnsi="仿宋" w:eastAsia="仿宋" w:cs="仿宋"/>
          <w:b w:val="0"/>
          <w:bCs w:val="0"/>
          <w:sz w:val="28"/>
          <w:szCs w:val="28"/>
          <w:highlight w:val="none"/>
          <w:u w:val="none"/>
          <w:lang w:val="en-US" w:eastAsia="zh-CN"/>
        </w:rPr>
        <w:t>收到</w:t>
      </w:r>
      <w:r>
        <w:rPr>
          <w:rFonts w:hint="eastAsia" w:ascii="仿宋" w:hAnsi="仿宋" w:eastAsia="仿宋" w:cs="仿宋"/>
          <w:b w:val="0"/>
          <w:bCs w:val="0"/>
          <w:sz w:val="28"/>
          <w:szCs w:val="28"/>
          <w:highlight w:val="none"/>
          <w:u w:val="none"/>
          <w:lang w:val="en-US" w:eastAsia="zh-CN"/>
        </w:rPr>
        <w:t>生效</w:t>
      </w:r>
      <w:r>
        <w:rPr>
          <w:rFonts w:hint="default" w:ascii="仿宋" w:hAnsi="仿宋" w:eastAsia="仿宋" w:cs="仿宋"/>
          <w:b w:val="0"/>
          <w:bCs w:val="0"/>
          <w:sz w:val="28"/>
          <w:szCs w:val="28"/>
          <w:highlight w:val="none"/>
          <w:u w:val="none"/>
          <w:lang w:val="en-US" w:eastAsia="zh-CN"/>
        </w:rPr>
        <w:t>判决</w:t>
      </w:r>
      <w:r>
        <w:rPr>
          <w:rFonts w:hint="eastAsia" w:ascii="仿宋" w:hAnsi="仿宋" w:eastAsia="仿宋" w:cs="仿宋"/>
          <w:b w:val="0"/>
          <w:bCs w:val="0"/>
          <w:sz w:val="28"/>
          <w:szCs w:val="28"/>
          <w:highlight w:val="none"/>
          <w:u w:val="none"/>
          <w:lang w:val="en-US" w:eastAsia="zh-CN"/>
        </w:rPr>
        <w:t>书</w:t>
      </w:r>
      <w:r>
        <w:rPr>
          <w:rFonts w:hint="default" w:ascii="仿宋" w:hAnsi="仿宋" w:eastAsia="仿宋" w:cs="仿宋"/>
          <w:b w:val="0"/>
          <w:bCs w:val="0"/>
          <w:sz w:val="28"/>
          <w:szCs w:val="28"/>
          <w:highlight w:val="none"/>
          <w:u w:val="none"/>
          <w:lang w:val="en-US" w:eastAsia="zh-CN"/>
        </w:rPr>
        <w:t>或调解文书</w:t>
      </w:r>
      <w:r>
        <w:rPr>
          <w:rFonts w:hint="eastAsia" w:ascii="仿宋" w:hAnsi="仿宋" w:eastAsia="仿宋" w:cs="仿宋"/>
          <w:b w:val="0"/>
          <w:bCs w:val="0"/>
          <w:sz w:val="28"/>
          <w:szCs w:val="28"/>
          <w:highlight w:val="none"/>
          <w:u w:val="none"/>
          <w:lang w:val="en-US" w:eastAsia="zh-CN"/>
        </w:rPr>
        <w:t>后，</w:t>
      </w:r>
      <w:r>
        <w:rPr>
          <w:rFonts w:hint="default" w:ascii="仿宋" w:hAnsi="仿宋" w:eastAsia="仿宋" w:cs="仿宋"/>
          <w:b w:val="0"/>
          <w:bCs w:val="0"/>
          <w:sz w:val="28"/>
          <w:szCs w:val="28"/>
          <w:highlight w:val="none"/>
          <w:u w:val="none"/>
          <w:lang w:val="en-US" w:eastAsia="zh-CN"/>
        </w:rPr>
        <w:t>支付</w:t>
      </w:r>
      <w:r>
        <w:rPr>
          <w:rFonts w:hint="eastAsia" w:ascii="仿宋" w:hAnsi="仿宋" w:eastAsia="仿宋" w:cs="仿宋"/>
          <w:b w:val="0"/>
          <w:bCs w:val="0"/>
          <w:sz w:val="28"/>
          <w:szCs w:val="28"/>
          <w:highlight w:val="none"/>
          <w:u w:val="none"/>
          <w:lang w:val="en-US" w:eastAsia="zh-CN"/>
        </w:rPr>
        <w:t>该项案件基本</w:t>
      </w:r>
      <w:r>
        <w:rPr>
          <w:rFonts w:hint="default" w:ascii="仿宋" w:hAnsi="仿宋" w:eastAsia="仿宋" w:cs="仿宋"/>
          <w:b w:val="0"/>
          <w:bCs w:val="0"/>
          <w:sz w:val="28"/>
          <w:szCs w:val="28"/>
          <w:highlight w:val="none"/>
          <w:u w:val="none"/>
          <w:lang w:val="en-US" w:eastAsia="zh-CN"/>
        </w:rPr>
        <w:t>代理费</w:t>
      </w:r>
      <w:r>
        <w:rPr>
          <w:rFonts w:hint="eastAsia" w:ascii="仿宋" w:hAnsi="仿宋" w:eastAsia="仿宋" w:cs="仿宋"/>
          <w:b w:val="0"/>
          <w:bCs w:val="0"/>
          <w:sz w:val="28"/>
          <w:szCs w:val="28"/>
          <w:highlight w:val="none"/>
          <w:u w:val="none"/>
          <w:lang w:val="en-US" w:eastAsia="zh-CN"/>
        </w:rPr>
        <w:t>的40%。</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4、合同签订后，并在一审开庭前，如被告与采购人达成和解或调解并回款的，在采购人回款后，按照回款金额的1%支付律师风险代理费。</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5、和解或调解后被告未按照和解或调解协议履行的，需进入强制执行程序的，或在通过判决或调解后直接进入强制执行程序的，在采购人收到强制执行回款后，按照执行回款金额的合同约定费率支付律师风险代理费。</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6、第4、5条的风险代理费不重复计算，支付前提条件为：生效判决金额（或调解金额）不得低于欠款本金（如生效判决金额或调解金额低于欠款本金，则不予支付风险代理费用）。满足支付前提条件的情况下，风险代理费支付时间如下：</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①首次支付节点为采购人累计回款达到案件判决金额（或调解金额）的50%时，立即结算并支付；</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default"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②此后以一年为一个结算期，每个结算期末根据采购人在此结算期内回款的金额，按适用条款结算后支付；单个结算期内，如采购人累计回款达到200万时则立即结算并支付，支付之日作为下个结算期起算日。</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7、中标律所每次申请付款前应开具与当期付款等额的且满足采购方要求的增值税发票，否则付款期顺延。</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lang w:val="en-US" w:eastAsia="zh-CN"/>
        </w:rPr>
      </w:pPr>
      <w:r>
        <w:rPr>
          <w:rFonts w:hint="eastAsia" w:ascii="仿宋" w:hAnsi="仿宋" w:eastAsia="仿宋" w:cs="仿宋"/>
          <w:b/>
          <w:bCs/>
          <w:sz w:val="28"/>
          <w:szCs w:val="28"/>
          <w:lang w:val="en-US" w:eastAsia="zh-CN"/>
        </w:rPr>
        <w:t>（八）</w:t>
      </w:r>
      <w:r>
        <w:rPr>
          <w:rFonts w:hint="eastAsia" w:ascii="仿宋" w:hAnsi="仿宋" w:eastAsia="仿宋" w:cs="仿宋"/>
          <w:b/>
          <w:bCs/>
          <w:sz w:val="28"/>
          <w:szCs w:val="28"/>
          <w:u w:val="none"/>
          <w:lang w:val="en-US" w:eastAsia="zh-CN"/>
        </w:rPr>
        <w:t>本服务合同禁止转包，中标律所应全面独立完成服务合同。</w:t>
      </w:r>
    </w:p>
    <w:p>
      <w:pPr>
        <w:keepNext w:val="0"/>
        <w:keepLines w:val="0"/>
        <w:pageBreakBefore w:val="0"/>
        <w:widowControl w:val="0"/>
        <w:numPr>
          <w:ilvl w:val="0"/>
          <w:numId w:val="1"/>
        </w:numPr>
        <w:kinsoku/>
        <w:wordWrap/>
        <w:overflowPunct/>
        <w:topLinePunct w:val="0"/>
        <w:autoSpaceDE/>
        <w:autoSpaceDN/>
        <w:bidi w:val="0"/>
        <w:spacing w:line="240" w:lineRule="auto"/>
        <w:ind w:left="0" w:leftChars="0" w:firstLine="562" w:firstLineChars="200"/>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参与资质条件及要求</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sz w:val="28"/>
          <w:szCs w:val="28"/>
          <w:lang w:val="en-US" w:eastAsia="zh-CN"/>
        </w:rPr>
        <w:t>（一）</w:t>
      </w:r>
      <w:r>
        <w:rPr>
          <w:rFonts w:hint="eastAsia" w:ascii="仿宋" w:hAnsi="仿宋" w:eastAsia="仿宋" w:cs="仿宋"/>
          <w:b w:val="0"/>
          <w:bCs w:val="0"/>
          <w:sz w:val="28"/>
          <w:szCs w:val="28"/>
          <w:u w:val="none"/>
          <w:lang w:val="en-US" w:eastAsia="zh-CN"/>
        </w:rPr>
        <w:t>参与人需具备《中华人民共和国政府采购法》第二十二条规定的基本资格条件并提供营业执照副本复印件、法定代表人身份证明或授权委托书原件身份证复印件、近三年纳税证明，拟派服务团队人员社会保险登记证或缴纳社会保险的凭证复印件；</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sz w:val="28"/>
          <w:szCs w:val="28"/>
          <w:lang w:val="en-US" w:eastAsia="zh-CN"/>
        </w:rPr>
        <w:t>（二）</w:t>
      </w:r>
      <w:r>
        <w:rPr>
          <w:rFonts w:hint="eastAsia" w:ascii="仿宋" w:hAnsi="仿宋" w:eastAsia="仿宋" w:cs="仿宋"/>
          <w:b w:val="0"/>
          <w:bCs w:val="0"/>
          <w:sz w:val="28"/>
          <w:szCs w:val="28"/>
          <w:u w:val="none"/>
          <w:lang w:val="en-US" w:eastAsia="zh-CN"/>
        </w:rPr>
        <w:t>参与人具有司法部门颁发的有效执业许可证（提供有效执业许可证复印件，加盖事务所公章）；</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sz w:val="28"/>
          <w:szCs w:val="28"/>
          <w:lang w:val="en-US" w:eastAsia="zh-CN"/>
        </w:rPr>
        <w:t>（三）</w:t>
      </w:r>
      <w:r>
        <w:rPr>
          <w:rFonts w:hint="eastAsia" w:ascii="仿宋" w:hAnsi="仿宋" w:eastAsia="仿宋" w:cs="仿宋"/>
          <w:b w:val="0"/>
          <w:bCs w:val="0"/>
          <w:sz w:val="28"/>
          <w:szCs w:val="28"/>
          <w:u w:val="none"/>
          <w:lang w:val="en-US" w:eastAsia="zh-CN"/>
        </w:rPr>
        <w:t>参与人近三年来未受过司法行政部门的行政处罚，无任何不良信誉记录；</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sz w:val="28"/>
          <w:szCs w:val="28"/>
          <w:lang w:val="en-US" w:eastAsia="zh-CN"/>
        </w:rPr>
        <w:t>（四）</w:t>
      </w:r>
      <w:r>
        <w:rPr>
          <w:rFonts w:hint="eastAsia" w:ascii="仿宋" w:hAnsi="仿宋" w:eastAsia="仿宋" w:cs="仿宋"/>
          <w:b w:val="0"/>
          <w:bCs w:val="0"/>
          <w:sz w:val="28"/>
          <w:szCs w:val="28"/>
          <w:u w:val="none"/>
          <w:lang w:val="en-US" w:eastAsia="zh-CN"/>
        </w:rPr>
        <w:t>参与人拟派服务团队须满足采购方要求，组建不少于3人的律师服务团队，服务团队成员执业机构应与参与人单位名称一致，团队应包含不少于一名主任律师，其中主任律师应具有10年及以上执业经验（提供事务所开具的证明材料），并作为案件代理直接负责人；</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sz w:val="28"/>
          <w:szCs w:val="28"/>
          <w:lang w:val="en-US" w:eastAsia="zh-CN"/>
        </w:rPr>
        <w:t>（五）</w:t>
      </w:r>
      <w:r>
        <w:rPr>
          <w:rFonts w:hint="eastAsia" w:ascii="仿宋" w:hAnsi="仿宋" w:eastAsia="仿宋" w:cs="仿宋"/>
          <w:b w:val="0"/>
          <w:bCs w:val="0"/>
          <w:sz w:val="28"/>
          <w:szCs w:val="28"/>
          <w:u w:val="none"/>
          <w:lang w:val="en-US" w:eastAsia="zh-CN"/>
        </w:rPr>
        <w:t>参与人在近3年的业绩要求：3年内有担任事业单位、政府机关、国有企业或上市公司代理一审或二审民商事案件的业绩（须提供服务合同复印件，加盖事务所公章）；</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sz w:val="28"/>
          <w:szCs w:val="28"/>
          <w:lang w:val="en-US" w:eastAsia="zh-CN"/>
        </w:rPr>
        <w:t>（六）</w:t>
      </w:r>
      <w:r>
        <w:rPr>
          <w:rFonts w:hint="eastAsia" w:ascii="仿宋" w:hAnsi="仿宋" w:eastAsia="仿宋" w:cs="仿宋"/>
          <w:b w:val="0"/>
          <w:bCs w:val="0"/>
          <w:sz w:val="28"/>
          <w:szCs w:val="28"/>
          <w:u w:val="none"/>
          <w:lang w:val="en-US" w:eastAsia="zh-CN"/>
        </w:rPr>
        <w:t>参与人拟派服务团队熟悉国企相关的法律法规及政策，在国有企业法律风险管控体系搭建、公司经营风险防控、民商及公司法相关领域、合同管理、产品侵权、知识产权、劳动用工等法律事务有丰富的实战经验；</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sz w:val="28"/>
          <w:szCs w:val="28"/>
          <w:lang w:val="en-US" w:eastAsia="zh-CN"/>
        </w:rPr>
        <w:t>（七）</w:t>
      </w:r>
      <w:r>
        <w:rPr>
          <w:rFonts w:hint="eastAsia" w:ascii="仿宋" w:hAnsi="仿宋" w:eastAsia="仿宋" w:cs="仿宋"/>
          <w:b w:val="0"/>
          <w:bCs w:val="0"/>
          <w:sz w:val="28"/>
          <w:szCs w:val="28"/>
          <w:u w:val="none"/>
          <w:lang w:val="en-US" w:eastAsia="zh-CN"/>
        </w:rPr>
        <w:t>参与人具备良好的银行资信和商业信誉，没有处于被责令停业、面临重大诉讼以及财产被接管、冻结甚至破产等状态。</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sz w:val="28"/>
          <w:szCs w:val="28"/>
          <w:lang w:val="en-US" w:eastAsia="zh-CN"/>
        </w:rPr>
        <w:t>（八）</w:t>
      </w:r>
      <w:r>
        <w:rPr>
          <w:rFonts w:hint="eastAsia" w:ascii="仿宋" w:hAnsi="仿宋" w:eastAsia="仿宋" w:cs="仿宋"/>
          <w:b w:val="0"/>
          <w:bCs w:val="0"/>
          <w:sz w:val="28"/>
          <w:szCs w:val="28"/>
          <w:u w:val="none"/>
          <w:lang w:val="en-US" w:eastAsia="zh-CN"/>
        </w:rPr>
        <w:t>项目不接受联合体投标。</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（九）</w:t>
      </w:r>
      <w:r>
        <w:rPr>
          <w:rFonts w:hint="eastAsia" w:ascii="仿宋" w:hAnsi="仿宋" w:eastAsia="仿宋" w:cs="仿宋"/>
          <w:b w:val="0"/>
          <w:bCs w:val="0"/>
          <w:sz w:val="28"/>
          <w:szCs w:val="28"/>
          <w:lang w:val="en-US" w:eastAsia="zh-CN"/>
        </w:rPr>
        <w:t>采购人不保证最低价中标，将根据参与单位数量，首先通过响应文件（开标），用综合评分法择优选取各标段排名前3～5家单位，进行竞争性谈判。</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（九）</w:t>
      </w:r>
      <w:r>
        <w:rPr>
          <w:rFonts w:hint="eastAsia" w:ascii="仿宋" w:hAnsi="仿宋" w:eastAsia="仿宋" w:cs="仿宋"/>
          <w:b w:val="0"/>
          <w:bCs w:val="0"/>
          <w:sz w:val="28"/>
          <w:szCs w:val="28"/>
          <w:lang w:val="en-US" w:eastAsia="zh-CN"/>
        </w:rPr>
        <w:t>参与谈判人应当由法定代表人（或其委托代理人）签名（或加盖印章），并加盖参与谈判人的单位公章。参与谈判人加盖的单位公章与其营业执照的单位名称应当一致。</w:t>
      </w:r>
    </w:p>
    <w:p>
      <w:pPr>
        <w:pStyle w:val="5"/>
        <w:keepNext w:val="0"/>
        <w:keepLines w:val="0"/>
        <w:pageBreakBefore w:val="0"/>
        <w:widowControl w:val="0"/>
        <w:numPr>
          <w:ilvl w:val="0"/>
          <w:numId w:val="1"/>
        </w:numPr>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竞争性谈判评定标准</w:t>
      </w:r>
    </w:p>
    <w:p>
      <w:pPr>
        <w:pStyle w:val="5"/>
        <w:keepNext w:val="0"/>
        <w:keepLines w:val="0"/>
        <w:pageBreakBefore w:val="0"/>
        <w:widowControl w:val="0"/>
        <w:numPr>
          <w:ilvl w:val="0"/>
          <w:numId w:val="0"/>
        </w:numPr>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本竞争性谈判评定标准，采取综合性评定方式进行选定服务对象。具体评定方式如下：</w:t>
      </w:r>
    </w:p>
    <w:p>
      <w:pPr>
        <w:widowControl/>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w:t>
      </w:r>
      <w:r>
        <w:rPr>
          <w:rFonts w:hint="eastAsia" w:ascii="宋体" w:hAnsi="宋体" w:eastAsia="宋体" w:cs="宋体"/>
          <w:b/>
          <w:sz w:val="24"/>
          <w:szCs w:val="24"/>
          <w:highlight w:val="none"/>
          <w:lang w:val="en-US" w:eastAsia="zh-CN"/>
        </w:rPr>
        <w:t>定</w:t>
      </w:r>
      <w:r>
        <w:rPr>
          <w:rFonts w:hint="eastAsia" w:ascii="宋体" w:hAnsi="宋体" w:eastAsia="宋体" w:cs="宋体"/>
          <w:b/>
          <w:sz w:val="24"/>
          <w:szCs w:val="24"/>
          <w:highlight w:val="none"/>
        </w:rPr>
        <w:t>标准（满分100分）</w:t>
      </w:r>
    </w:p>
    <w:tbl>
      <w:tblPr>
        <w:tblStyle w:val="7"/>
        <w:tblW w:w="88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1"/>
        <w:gridCol w:w="1100"/>
        <w:gridCol w:w="6509"/>
        <w:gridCol w:w="7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491" w:type="dxa"/>
            <w:noWrap w:val="0"/>
            <w:vAlign w:val="center"/>
          </w:tcPr>
          <w:p>
            <w:pPr>
              <w:jc w:val="center"/>
              <w:rPr>
                <w:rFonts w:hint="eastAsia" w:ascii="宋体" w:hAnsi="宋体" w:eastAsia="宋体" w:cs="宋体"/>
                <w:b/>
                <w:bCs/>
                <w:kern w:val="2"/>
                <w:sz w:val="21"/>
                <w:szCs w:val="21"/>
                <w:highlight w:val="none"/>
                <w:lang w:val="en-US" w:eastAsia="en-US" w:bidi="ar-SA"/>
              </w:rPr>
            </w:pPr>
            <w:r>
              <w:rPr>
                <w:rFonts w:hint="eastAsia" w:ascii="宋体" w:hAnsi="宋体" w:eastAsia="宋体" w:cs="宋体"/>
                <w:b/>
                <w:bCs/>
                <w:kern w:val="2"/>
                <w:sz w:val="21"/>
                <w:szCs w:val="21"/>
                <w:highlight w:val="none"/>
                <w:lang w:val="en-US" w:eastAsia="en-US" w:bidi="ar-SA"/>
              </w:rPr>
              <w:t>序号</w:t>
            </w:r>
          </w:p>
        </w:tc>
        <w:tc>
          <w:tcPr>
            <w:tcW w:w="1100" w:type="dxa"/>
            <w:noWrap w:val="0"/>
            <w:vAlign w:val="center"/>
          </w:tcPr>
          <w:p>
            <w:pPr>
              <w:jc w:val="center"/>
              <w:rPr>
                <w:rFonts w:hint="eastAsia" w:ascii="宋体" w:hAnsi="宋体" w:eastAsia="宋体" w:cs="宋体"/>
                <w:b/>
                <w:bCs/>
                <w:kern w:val="2"/>
                <w:sz w:val="21"/>
                <w:szCs w:val="21"/>
                <w:highlight w:val="none"/>
                <w:lang w:val="en-US" w:eastAsia="en-US" w:bidi="ar-SA"/>
              </w:rPr>
            </w:pPr>
            <w:r>
              <w:rPr>
                <w:rFonts w:hint="eastAsia" w:ascii="宋体" w:hAnsi="宋体" w:eastAsia="宋体" w:cs="宋体"/>
                <w:b/>
                <w:bCs/>
                <w:kern w:val="2"/>
                <w:sz w:val="21"/>
                <w:szCs w:val="21"/>
                <w:highlight w:val="none"/>
                <w:lang w:val="en-US" w:eastAsia="en-US" w:bidi="ar-SA"/>
              </w:rPr>
              <w:t>项目</w:t>
            </w:r>
          </w:p>
        </w:tc>
        <w:tc>
          <w:tcPr>
            <w:tcW w:w="6509" w:type="dxa"/>
            <w:noWrap w:val="0"/>
            <w:vAlign w:val="center"/>
          </w:tcPr>
          <w:p>
            <w:pPr>
              <w:ind w:left="1966" w:leftChars="936" w:firstLine="632" w:firstLineChars="300"/>
              <w:rPr>
                <w:rFonts w:hint="eastAsia" w:ascii="宋体" w:hAnsi="宋体" w:eastAsia="宋体" w:cs="宋体"/>
                <w:b/>
                <w:bCs/>
                <w:kern w:val="2"/>
                <w:sz w:val="21"/>
                <w:szCs w:val="21"/>
                <w:highlight w:val="none"/>
                <w:lang w:val="en-US" w:eastAsia="en-US" w:bidi="ar-SA"/>
              </w:rPr>
            </w:pPr>
            <w:r>
              <w:rPr>
                <w:rFonts w:hint="eastAsia" w:ascii="宋体" w:hAnsi="宋体" w:eastAsia="宋体" w:cs="宋体"/>
                <w:b/>
                <w:bCs/>
                <w:kern w:val="2"/>
                <w:sz w:val="21"/>
                <w:szCs w:val="21"/>
                <w:highlight w:val="none"/>
                <w:lang w:val="en-US" w:eastAsia="en-US" w:bidi="ar-SA"/>
              </w:rPr>
              <w:t>评分内容</w:t>
            </w:r>
          </w:p>
        </w:tc>
        <w:tc>
          <w:tcPr>
            <w:tcW w:w="793" w:type="dxa"/>
            <w:noWrap w:val="0"/>
            <w:vAlign w:val="center"/>
          </w:tcPr>
          <w:p>
            <w:pPr>
              <w:jc w:val="center"/>
              <w:rPr>
                <w:rFonts w:hint="eastAsia" w:ascii="宋体" w:hAnsi="宋体" w:eastAsia="宋体" w:cs="宋体"/>
                <w:b/>
                <w:bCs/>
                <w:kern w:val="2"/>
                <w:sz w:val="21"/>
                <w:szCs w:val="21"/>
                <w:highlight w:val="none"/>
                <w:lang w:val="en-US" w:eastAsia="en-US" w:bidi="ar-SA"/>
              </w:rPr>
            </w:pPr>
            <w:r>
              <w:rPr>
                <w:rFonts w:hint="eastAsia" w:ascii="宋体" w:hAnsi="宋体" w:eastAsia="宋体" w:cs="宋体"/>
                <w:b/>
                <w:bCs/>
                <w:kern w:val="2"/>
                <w:sz w:val="21"/>
                <w:szCs w:val="21"/>
                <w:highlight w:val="none"/>
                <w:lang w:val="en-US" w:eastAsia="en-US" w:bidi="ar-SA"/>
              </w:rPr>
              <w:t>计分标准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491" w:type="dxa"/>
            <w:noWrap w:val="0"/>
            <w:vAlign w:val="center"/>
          </w:tcPr>
          <w:p>
            <w:pPr>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1</w:t>
            </w:r>
          </w:p>
        </w:tc>
        <w:tc>
          <w:tcPr>
            <w:tcW w:w="1100" w:type="dxa"/>
            <w:noWrap w:val="0"/>
            <w:vAlign w:val="center"/>
          </w:tcPr>
          <w:p>
            <w:pPr>
              <w:spacing w:line="360" w:lineRule="auto"/>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报价得分（</w:t>
            </w:r>
            <w:r>
              <w:rPr>
                <w:rFonts w:hint="eastAsia" w:ascii="宋体" w:hAnsi="宋体" w:eastAsia="宋体" w:cs="宋体"/>
                <w:color w:val="000000"/>
                <w:szCs w:val="21"/>
                <w:lang w:val="en-US" w:eastAsia="zh-CN"/>
              </w:rPr>
              <w:t>15</w:t>
            </w:r>
            <w:r>
              <w:rPr>
                <w:rFonts w:hint="eastAsia" w:ascii="宋体" w:hAnsi="宋体" w:eastAsia="宋体" w:cs="宋体"/>
                <w:b w:val="0"/>
                <w:bCs w:val="0"/>
                <w:kern w:val="2"/>
                <w:sz w:val="21"/>
                <w:szCs w:val="21"/>
                <w:highlight w:val="none"/>
                <w:lang w:val="en-US" w:eastAsia="en-US" w:bidi="ar-SA"/>
              </w:rPr>
              <w:t>分）</w:t>
            </w:r>
          </w:p>
        </w:tc>
        <w:tc>
          <w:tcPr>
            <w:tcW w:w="6509" w:type="dxa"/>
            <w:noWrap w:val="0"/>
            <w:vAlign w:val="top"/>
          </w:tcPr>
          <w:p>
            <w:pPr>
              <w:snapToGrid w:val="0"/>
              <w:spacing w:line="360" w:lineRule="auto"/>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本项目的价格分采用算术平均价优先法计算。 </w:t>
            </w:r>
          </w:p>
          <w:p>
            <w:pPr>
              <w:snapToGrid w:val="0"/>
              <w:spacing w:line="360" w:lineRule="auto"/>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（1）有效</w:t>
            </w:r>
            <w:r>
              <w:rPr>
                <w:rFonts w:hint="eastAsia" w:ascii="宋体" w:hAnsi="宋体" w:eastAsia="宋体" w:cs="宋体"/>
                <w:color w:val="000000"/>
                <w:szCs w:val="21"/>
                <w:highlight w:val="none"/>
                <w:lang w:val="en-US" w:eastAsia="zh-CN"/>
              </w:rPr>
              <w:t>投标价：采购人限价的50%≤参与</w:t>
            </w:r>
            <w:r>
              <w:rPr>
                <w:rFonts w:hint="eastAsia" w:ascii="宋体" w:hAnsi="宋体" w:eastAsia="宋体" w:cs="宋体"/>
                <w:color w:val="000000"/>
                <w:szCs w:val="21"/>
                <w:lang w:val="en-US" w:eastAsia="zh-CN"/>
              </w:rPr>
              <w:t xml:space="preserve">评标基准价计算的有效投标价≤采购人限价的100%，不在此范围内的有效投标价不参与评标基准价的计算，但仍参与投标价的得分计算。 </w:t>
            </w:r>
          </w:p>
          <w:p>
            <w:pPr>
              <w:snapToGrid w:val="0"/>
              <w:spacing w:line="360" w:lineRule="auto"/>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（2）通过本项目初步审查并符合前述条件的有效投标价的算术平均价为评标基准价，其价格分为满分。其他参与人的价格分统一按照下列公式计算：投标报价得分=〔1-|投标价-算术平均价|÷算术平均价〕×15。</w:t>
            </w:r>
          </w:p>
          <w:p>
            <w:pPr>
              <w:snapToGrid w:val="0"/>
              <w:spacing w:line="360" w:lineRule="auto"/>
              <w:jc w:val="left"/>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color w:val="000000"/>
                <w:szCs w:val="21"/>
                <w:lang w:val="en-US" w:eastAsia="zh-CN"/>
              </w:rPr>
              <w:t>备注：‘|投标价-算术平均价|’该项结果是绝对值，不存在负数。</w:t>
            </w:r>
          </w:p>
        </w:tc>
        <w:tc>
          <w:tcPr>
            <w:tcW w:w="793" w:type="dxa"/>
            <w:noWrap w:val="0"/>
            <w:vAlign w:val="center"/>
          </w:tcPr>
          <w:p>
            <w:pPr>
              <w:spacing w:line="360" w:lineRule="auto"/>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8" w:hRule="atLeast"/>
          <w:jc w:val="center"/>
        </w:trPr>
        <w:tc>
          <w:tcPr>
            <w:tcW w:w="491" w:type="dxa"/>
            <w:noWrap w:val="0"/>
            <w:vAlign w:val="center"/>
          </w:tcPr>
          <w:p>
            <w:pPr>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2</w:t>
            </w:r>
          </w:p>
        </w:tc>
        <w:tc>
          <w:tcPr>
            <w:tcW w:w="1100" w:type="dxa"/>
            <w:noWrap w:val="0"/>
            <w:vAlign w:val="center"/>
          </w:tcPr>
          <w:p>
            <w:pPr>
              <w:spacing w:line="36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rPr>
              <w:t>服务实施方案</w:t>
            </w:r>
            <w:r>
              <w:rPr>
                <w:rFonts w:hint="eastAsia" w:ascii="宋体" w:hAnsi="宋体" w:eastAsia="宋体" w:cs="宋体"/>
                <w:color w:val="000000"/>
                <w:szCs w:val="21"/>
                <w:lang w:eastAsia="zh-CN"/>
              </w:rPr>
              <w:t>及谈判评价</w:t>
            </w:r>
          </w:p>
          <w:p>
            <w:pPr>
              <w:spacing w:line="360" w:lineRule="auto"/>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w:t>
            </w:r>
            <w:r>
              <w:rPr>
                <w:rFonts w:hint="eastAsia" w:ascii="宋体" w:hAnsi="宋体" w:eastAsia="宋体" w:cs="宋体"/>
                <w:color w:val="000000"/>
                <w:szCs w:val="21"/>
              </w:rPr>
              <w:t>45</w:t>
            </w:r>
            <w:r>
              <w:rPr>
                <w:rFonts w:hint="eastAsia" w:ascii="宋体" w:hAnsi="宋体" w:eastAsia="宋体" w:cs="宋体"/>
                <w:b w:val="0"/>
                <w:bCs w:val="0"/>
                <w:kern w:val="2"/>
                <w:sz w:val="21"/>
                <w:szCs w:val="21"/>
                <w:highlight w:val="none"/>
                <w:lang w:val="en-US" w:eastAsia="en-US" w:bidi="ar-SA"/>
              </w:rPr>
              <w:t>分）</w:t>
            </w:r>
          </w:p>
        </w:tc>
        <w:tc>
          <w:tcPr>
            <w:tcW w:w="6509" w:type="dxa"/>
            <w:noWrap w:val="0"/>
            <w:vAlign w:val="top"/>
          </w:tcPr>
          <w:p>
            <w:pPr>
              <w:snapToGrid w:val="0"/>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1、</w:t>
            </w:r>
            <w:r>
              <w:rPr>
                <w:rFonts w:hint="eastAsia" w:ascii="宋体" w:hAnsi="宋体" w:eastAsia="宋体" w:cs="宋体"/>
                <w:color w:val="000000"/>
                <w:szCs w:val="21"/>
              </w:rPr>
              <w:t>根据</w:t>
            </w:r>
            <w:r>
              <w:rPr>
                <w:rFonts w:hint="eastAsia" w:ascii="宋体" w:hAnsi="宋体" w:eastAsia="宋体" w:cs="宋体"/>
                <w:color w:val="000000"/>
                <w:szCs w:val="21"/>
                <w:lang w:eastAsia="zh-CN"/>
              </w:rPr>
              <w:t>参与人</w:t>
            </w:r>
            <w:r>
              <w:rPr>
                <w:rFonts w:hint="eastAsia" w:ascii="宋体" w:hAnsi="宋体" w:eastAsia="宋体" w:cs="宋体"/>
                <w:color w:val="000000"/>
                <w:szCs w:val="21"/>
              </w:rPr>
              <w:t>针对本项目制定服务实施方案</w:t>
            </w:r>
            <w:r>
              <w:rPr>
                <w:rFonts w:hint="eastAsia" w:ascii="宋体" w:hAnsi="宋体" w:eastAsia="宋体" w:cs="宋体"/>
                <w:color w:val="000000"/>
                <w:szCs w:val="21"/>
                <w:lang w:eastAsia="zh-CN"/>
              </w:rPr>
              <w:t>平评价</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分）</w:t>
            </w:r>
          </w:p>
          <w:p>
            <w:pPr>
              <w:snapToGrid w:val="0"/>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服务方案的完整性、合理性，包括不限于服务方案整体清晰、全面，人员力量配备合理，针对采购人需求的响应及满足程度高，工作方法举措切实可行，能实现预期服务目标(15~20 分)，优秀（11~15），良好（6~10），一般（1~5）。</w:t>
            </w:r>
          </w:p>
          <w:p>
            <w:pPr>
              <w:snapToGrid w:val="0"/>
              <w:spacing w:line="360" w:lineRule="auto"/>
              <w:jc w:val="left"/>
              <w:rPr>
                <w:rFonts w:hint="eastAsia"/>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、方案可行性（</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5分）</w:t>
            </w:r>
          </w:p>
          <w:p>
            <w:pPr>
              <w:snapToGrid w:val="0"/>
              <w:spacing w:line="360" w:lineRule="auto"/>
              <w:jc w:val="left"/>
              <w:rPr>
                <w:rFonts w:hint="eastAsia"/>
                <w:lang w:val="en-US" w:eastAsia="en-US"/>
              </w:rPr>
            </w:pPr>
            <w:r>
              <w:rPr>
                <w:rFonts w:hint="eastAsia" w:ascii="宋体" w:hAnsi="宋体" w:eastAsia="宋体" w:cs="宋体"/>
                <w:color w:val="000000"/>
                <w:szCs w:val="21"/>
                <w:lang w:val="en-US" w:eastAsia="zh-CN"/>
              </w:rPr>
              <w:t>根据投标律师事务所现场评审演示、临场表现情况,重视程度以及对采购人法律服务要求的回应与承诺保证情况等进行酌情打分。优秀（21~25），良好（11~20），一般（1~10）。</w:t>
            </w:r>
          </w:p>
        </w:tc>
        <w:tc>
          <w:tcPr>
            <w:tcW w:w="793" w:type="dxa"/>
            <w:noWrap w:val="0"/>
            <w:vAlign w:val="center"/>
          </w:tcPr>
          <w:p>
            <w:pPr>
              <w:spacing w:line="300" w:lineRule="auto"/>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color w:val="000000"/>
                <w:szCs w:val="21"/>
              </w:rPr>
              <w:t>45</w:t>
            </w:r>
            <w:r>
              <w:rPr>
                <w:rFonts w:hint="eastAsia" w:ascii="宋体" w:hAnsi="宋体" w:eastAsia="宋体" w:cs="宋体"/>
                <w:color w:val="000000"/>
                <w:szCs w:val="21"/>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491" w:type="dxa"/>
            <w:noWrap w:val="0"/>
            <w:vAlign w:val="center"/>
          </w:tcPr>
          <w:p>
            <w:pPr>
              <w:ind w:firstLine="105" w:firstLineChars="50"/>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3</w:t>
            </w:r>
          </w:p>
        </w:tc>
        <w:tc>
          <w:tcPr>
            <w:tcW w:w="1100" w:type="dxa"/>
            <w:noWrap w:val="0"/>
            <w:vAlign w:val="center"/>
          </w:tcPr>
          <w:p>
            <w:pPr>
              <w:spacing w:line="360" w:lineRule="auto"/>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zh-CN" w:bidi="ar-SA"/>
              </w:rPr>
              <w:t>服务</w:t>
            </w:r>
            <w:r>
              <w:rPr>
                <w:rFonts w:hint="eastAsia" w:ascii="宋体" w:hAnsi="宋体" w:eastAsia="宋体" w:cs="宋体"/>
                <w:b w:val="0"/>
                <w:bCs w:val="0"/>
                <w:kern w:val="2"/>
                <w:sz w:val="21"/>
                <w:szCs w:val="21"/>
                <w:highlight w:val="none"/>
                <w:lang w:val="en-US" w:eastAsia="en-US" w:bidi="ar-SA"/>
              </w:rPr>
              <w:t>业绩</w:t>
            </w:r>
          </w:p>
          <w:p>
            <w:pPr>
              <w:spacing w:line="360" w:lineRule="auto"/>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w:t>
            </w:r>
            <w:r>
              <w:rPr>
                <w:rFonts w:hint="eastAsia" w:ascii="宋体" w:hAnsi="宋体" w:eastAsia="宋体" w:cs="宋体"/>
                <w:b w:val="0"/>
                <w:bCs w:val="0"/>
                <w:kern w:val="2"/>
                <w:sz w:val="21"/>
                <w:szCs w:val="21"/>
                <w:highlight w:val="none"/>
                <w:lang w:val="en-US" w:eastAsia="zh-CN" w:bidi="ar-SA"/>
              </w:rPr>
              <w:t>24</w:t>
            </w:r>
            <w:r>
              <w:rPr>
                <w:rFonts w:hint="eastAsia" w:ascii="宋体" w:hAnsi="宋体" w:eastAsia="宋体" w:cs="宋体"/>
                <w:b w:val="0"/>
                <w:bCs w:val="0"/>
                <w:kern w:val="2"/>
                <w:sz w:val="21"/>
                <w:szCs w:val="21"/>
                <w:highlight w:val="none"/>
                <w:lang w:val="en-US" w:eastAsia="en-US" w:bidi="ar-SA"/>
              </w:rPr>
              <w:t>分）</w:t>
            </w:r>
          </w:p>
        </w:tc>
        <w:tc>
          <w:tcPr>
            <w:tcW w:w="6509" w:type="dxa"/>
            <w:noWrap w:val="0"/>
            <w:vAlign w:val="center"/>
          </w:tcPr>
          <w:p>
            <w:pPr>
              <w:widowControl/>
              <w:numPr>
                <w:ilvl w:val="0"/>
                <w:numId w:val="2"/>
              </w:numPr>
              <w:snapToGrid w:val="0"/>
              <w:spacing w:line="360" w:lineRule="auto"/>
              <w:jc w:val="left"/>
              <w:textAlignment w:val="center"/>
              <w:rPr>
                <w:rFonts w:hint="eastAsia" w:ascii="宋体" w:hAnsi="宋体" w:eastAsia="宋体" w:cs="宋体"/>
                <w:color w:val="000000"/>
              </w:rPr>
            </w:pPr>
            <w:r>
              <w:rPr>
                <w:rFonts w:hint="eastAsia" w:ascii="宋体" w:hAnsi="宋体" w:eastAsia="宋体" w:cs="宋体"/>
                <w:color w:val="000000"/>
              </w:rPr>
              <w:t>按诉讼标的确定管辖，</w:t>
            </w:r>
            <w:r>
              <w:rPr>
                <w:rFonts w:hint="eastAsia" w:ascii="宋体" w:hAnsi="宋体" w:eastAsia="宋体" w:cs="宋体"/>
                <w:color w:val="000000"/>
                <w:lang w:eastAsia="zh-CN"/>
              </w:rPr>
              <w:t>服务团队成员</w:t>
            </w:r>
            <w:r>
              <w:rPr>
                <w:rFonts w:hint="eastAsia" w:ascii="宋体" w:hAnsi="宋体" w:eastAsia="宋体" w:cs="宋体"/>
                <w:color w:val="000000"/>
                <w:lang w:val="en-US" w:eastAsia="zh-CN"/>
              </w:rPr>
              <w:t>近三年内（自2020年10月1日起至投标文书递交之日，下同）</w:t>
            </w:r>
            <w:r>
              <w:rPr>
                <w:rFonts w:hint="eastAsia" w:ascii="宋体" w:hAnsi="宋体" w:eastAsia="宋体" w:cs="宋体"/>
                <w:color w:val="000000"/>
              </w:rPr>
              <w:t>在省高级人民法院代理一审或二审民商事案件，判决或裁定胜诉的，每件计2.5分；按诉讼标的确定管辖，</w:t>
            </w:r>
            <w:r>
              <w:rPr>
                <w:rFonts w:hint="eastAsia" w:ascii="宋体" w:hAnsi="宋体" w:eastAsia="宋体" w:cs="宋体"/>
                <w:color w:val="000000"/>
                <w:lang w:eastAsia="zh-CN"/>
              </w:rPr>
              <w:t>服务团队成员</w:t>
            </w:r>
            <w:r>
              <w:rPr>
                <w:rFonts w:hint="eastAsia" w:ascii="宋体" w:hAnsi="宋体" w:eastAsia="宋体" w:cs="宋体"/>
                <w:color w:val="000000"/>
              </w:rPr>
              <w:t>在最高人民法院代理一审或二审或再审民商事案件，判决或裁定胜诉的，每件计2.5分</w:t>
            </w:r>
            <w:r>
              <w:rPr>
                <w:rFonts w:hint="eastAsia" w:ascii="宋体" w:hAnsi="宋体" w:eastAsia="宋体" w:cs="宋体"/>
                <w:color w:val="000000"/>
                <w:lang w:eastAsia="zh-CN"/>
              </w:rPr>
              <w:t>，此项最高计</w:t>
            </w:r>
            <w:r>
              <w:rPr>
                <w:rFonts w:hint="eastAsia" w:ascii="宋体" w:hAnsi="宋体" w:eastAsia="宋体" w:cs="宋体"/>
                <w:color w:val="000000"/>
                <w:lang w:val="en-US" w:eastAsia="zh-CN"/>
              </w:rPr>
              <w:t>20分</w:t>
            </w:r>
            <w:r>
              <w:rPr>
                <w:rFonts w:hint="eastAsia" w:ascii="宋体" w:hAnsi="宋体" w:eastAsia="宋体" w:cs="宋体"/>
                <w:color w:val="000000"/>
              </w:rPr>
              <w:t>；</w:t>
            </w:r>
          </w:p>
          <w:p>
            <w:pPr>
              <w:widowControl/>
              <w:numPr>
                <w:ilvl w:val="0"/>
                <w:numId w:val="2"/>
              </w:numPr>
              <w:snapToGrid w:val="0"/>
              <w:spacing w:line="360" w:lineRule="auto"/>
              <w:jc w:val="left"/>
              <w:textAlignment w:val="center"/>
              <w:rPr>
                <w:rFonts w:hint="eastAsia" w:ascii="宋体" w:hAnsi="宋体" w:eastAsia="宋体" w:cs="宋体"/>
                <w:color w:val="000000"/>
              </w:rPr>
            </w:pPr>
            <w:r>
              <w:rPr>
                <w:rFonts w:hint="eastAsia" w:ascii="宋体" w:hAnsi="宋体" w:eastAsia="宋体" w:cs="宋体"/>
                <w:color w:val="000000"/>
                <w:lang w:val="en-US" w:eastAsia="zh-CN"/>
              </w:rPr>
              <w:t>服务团队成员近三年内</w:t>
            </w:r>
            <w:r>
              <w:rPr>
                <w:rFonts w:hint="eastAsia" w:ascii="宋体" w:hAnsi="宋体" w:eastAsia="宋体" w:cs="宋体"/>
                <w:color w:val="000000"/>
              </w:rPr>
              <w:t>担任过</w:t>
            </w:r>
            <w:r>
              <w:rPr>
                <w:rFonts w:hint="eastAsia" w:ascii="宋体" w:hAnsi="宋体" w:eastAsia="宋体" w:cs="宋体"/>
                <w:color w:val="000000"/>
                <w:lang w:val="en-US" w:eastAsia="zh-CN"/>
              </w:rPr>
              <w:t>事业单位、政府机关、国有企业或上市公司常年法律顾问</w:t>
            </w:r>
            <w:r>
              <w:rPr>
                <w:rFonts w:hint="eastAsia" w:ascii="宋体" w:hAnsi="宋体" w:eastAsia="宋体" w:cs="宋体"/>
                <w:color w:val="000000"/>
              </w:rPr>
              <w:t>，每家计1分，此项最高记4分；</w:t>
            </w:r>
          </w:p>
          <w:p>
            <w:pPr>
              <w:widowControl/>
              <w:numPr>
                <w:ilvl w:val="0"/>
                <w:numId w:val="0"/>
              </w:numPr>
              <w:snapToGrid w:val="0"/>
              <w:spacing w:line="360" w:lineRule="auto"/>
              <w:jc w:val="left"/>
              <w:textAlignment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color w:val="000000"/>
              </w:rPr>
              <w:t>（投标文件中提供顾问合同复印件、代理合同复印件、判决书</w:t>
            </w:r>
            <w:r>
              <w:rPr>
                <w:rFonts w:hint="eastAsia" w:ascii="宋体" w:hAnsi="宋体" w:eastAsia="宋体" w:cs="宋体"/>
                <w:color w:val="000000"/>
                <w:lang w:eastAsia="zh-CN"/>
              </w:rPr>
              <w:t>或</w:t>
            </w:r>
            <w:r>
              <w:rPr>
                <w:rFonts w:hint="eastAsia" w:ascii="宋体" w:hAnsi="宋体" w:eastAsia="宋体" w:cs="宋体"/>
                <w:color w:val="000000"/>
              </w:rPr>
              <w:t>裁定书复印件等证明材料并加盖</w:t>
            </w:r>
            <w:r>
              <w:rPr>
                <w:rFonts w:hint="eastAsia" w:ascii="宋体" w:hAnsi="宋体" w:eastAsia="宋体" w:cs="宋体"/>
                <w:color w:val="000000"/>
                <w:lang w:eastAsia="zh-CN"/>
              </w:rPr>
              <w:t>参与人</w:t>
            </w:r>
            <w:r>
              <w:rPr>
                <w:rFonts w:hint="eastAsia" w:ascii="宋体" w:hAnsi="宋体" w:eastAsia="宋体" w:cs="宋体"/>
                <w:color w:val="000000"/>
              </w:rPr>
              <w:t>公章，否则不计分。）</w:t>
            </w:r>
          </w:p>
        </w:tc>
        <w:tc>
          <w:tcPr>
            <w:tcW w:w="793" w:type="dxa"/>
            <w:noWrap w:val="0"/>
            <w:vAlign w:val="center"/>
          </w:tcPr>
          <w:p>
            <w:pPr>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color w:val="000000"/>
                <w:lang w:val="en-US" w:eastAsia="zh-CN"/>
              </w:rPr>
              <w:t>24分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491" w:type="dxa"/>
            <w:noWrap w:val="0"/>
            <w:vAlign w:val="center"/>
          </w:tcPr>
          <w:p>
            <w:pPr>
              <w:ind w:firstLine="105" w:firstLineChars="50"/>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4</w:t>
            </w:r>
          </w:p>
        </w:tc>
        <w:tc>
          <w:tcPr>
            <w:tcW w:w="1100" w:type="dxa"/>
            <w:noWrap w:val="0"/>
            <w:vAlign w:val="center"/>
          </w:tcPr>
          <w:p>
            <w:pPr>
              <w:spacing w:line="360" w:lineRule="auto"/>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综合实力</w:t>
            </w:r>
          </w:p>
          <w:p>
            <w:pPr>
              <w:spacing w:line="360" w:lineRule="auto"/>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w:t>
            </w:r>
            <w:r>
              <w:rPr>
                <w:rFonts w:hint="eastAsia" w:ascii="宋体" w:hAnsi="宋体" w:eastAsia="宋体" w:cs="宋体"/>
                <w:b w:val="0"/>
                <w:bCs w:val="0"/>
                <w:kern w:val="2"/>
                <w:sz w:val="21"/>
                <w:szCs w:val="21"/>
                <w:highlight w:val="none"/>
                <w:lang w:val="en-US" w:eastAsia="zh-CN" w:bidi="ar-SA"/>
              </w:rPr>
              <w:t>7</w:t>
            </w:r>
            <w:r>
              <w:rPr>
                <w:rFonts w:hint="eastAsia" w:ascii="宋体" w:hAnsi="宋体" w:eastAsia="宋体" w:cs="宋体"/>
                <w:b w:val="0"/>
                <w:bCs w:val="0"/>
                <w:kern w:val="2"/>
                <w:sz w:val="21"/>
                <w:szCs w:val="21"/>
                <w:highlight w:val="none"/>
                <w:lang w:val="en-US" w:eastAsia="en-US" w:bidi="ar-SA"/>
              </w:rPr>
              <w:t>分）</w:t>
            </w:r>
          </w:p>
        </w:tc>
        <w:tc>
          <w:tcPr>
            <w:tcW w:w="6509" w:type="dxa"/>
            <w:noWrap w:val="0"/>
            <w:vAlign w:val="center"/>
          </w:tcPr>
          <w:p>
            <w:pPr>
              <w:widowControl/>
              <w:numPr>
                <w:ilvl w:val="0"/>
                <w:numId w:val="0"/>
              </w:numPr>
              <w:snapToGrid w:val="0"/>
              <w:spacing w:line="360" w:lineRule="auto"/>
              <w:jc w:val="left"/>
              <w:textAlignment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color w:val="000000"/>
                <w:lang w:val="en-US" w:eastAsia="zh-CN"/>
              </w:rPr>
              <w:t>获得过市、省级及以上“优秀律师事务所”或类似荣誉的，记1分，该项计满7分为止。（需提供相关证明材</w:t>
            </w:r>
            <w:r>
              <w:rPr>
                <w:rFonts w:hint="eastAsia" w:ascii="宋体" w:hAnsi="宋体" w:eastAsia="宋体" w:cs="宋体"/>
                <w:color w:val="000000"/>
                <w:sz w:val="21"/>
                <w:lang w:val="en-US" w:eastAsia="zh-CN"/>
              </w:rPr>
              <w:t>料，否则不计分，参与人母公司或总公司获得荣誉在此项不予计分）</w:t>
            </w:r>
          </w:p>
        </w:tc>
        <w:tc>
          <w:tcPr>
            <w:tcW w:w="793" w:type="dxa"/>
            <w:noWrap w:val="0"/>
            <w:vAlign w:val="center"/>
          </w:tcPr>
          <w:p>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7分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jc w:val="center"/>
        </w:trPr>
        <w:tc>
          <w:tcPr>
            <w:tcW w:w="491" w:type="dxa"/>
            <w:noWrap w:val="0"/>
            <w:vAlign w:val="center"/>
          </w:tcPr>
          <w:p>
            <w:pPr>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5</w:t>
            </w:r>
          </w:p>
        </w:tc>
        <w:tc>
          <w:tcPr>
            <w:tcW w:w="1100" w:type="dxa"/>
            <w:noWrap w:val="0"/>
            <w:vAlign w:val="center"/>
          </w:tcPr>
          <w:p>
            <w:pPr>
              <w:spacing w:line="360" w:lineRule="auto"/>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服务团队情况</w:t>
            </w:r>
          </w:p>
          <w:p>
            <w:pPr>
              <w:spacing w:line="360" w:lineRule="auto"/>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w:t>
            </w:r>
            <w:r>
              <w:rPr>
                <w:rFonts w:hint="eastAsia" w:ascii="宋体" w:hAnsi="宋体" w:eastAsia="宋体" w:cs="宋体"/>
                <w:b w:val="0"/>
                <w:bCs w:val="0"/>
                <w:kern w:val="2"/>
                <w:sz w:val="21"/>
                <w:szCs w:val="21"/>
                <w:highlight w:val="none"/>
                <w:lang w:val="en-US" w:eastAsia="zh-CN" w:bidi="ar-SA"/>
              </w:rPr>
              <w:t>6</w:t>
            </w:r>
            <w:r>
              <w:rPr>
                <w:rFonts w:hint="eastAsia" w:ascii="宋体" w:hAnsi="宋体" w:eastAsia="宋体" w:cs="宋体"/>
                <w:b w:val="0"/>
                <w:bCs w:val="0"/>
                <w:kern w:val="2"/>
                <w:sz w:val="21"/>
                <w:szCs w:val="21"/>
                <w:highlight w:val="none"/>
                <w:lang w:val="en-US" w:eastAsia="en-US" w:bidi="ar-SA"/>
              </w:rPr>
              <w:t>分)</w:t>
            </w:r>
          </w:p>
        </w:tc>
        <w:tc>
          <w:tcPr>
            <w:tcW w:w="6509" w:type="dxa"/>
            <w:noWrap w:val="0"/>
            <w:vAlign w:val="center"/>
          </w:tcPr>
          <w:p>
            <w:pPr>
              <w:spacing w:line="360" w:lineRule="auto"/>
              <w:rPr>
                <w:rFonts w:hint="eastAsia" w:ascii="宋体" w:hAnsi="宋体" w:eastAsia="宋体" w:cs="宋体"/>
              </w:rPr>
            </w:pPr>
            <w:r>
              <w:rPr>
                <w:rFonts w:hint="eastAsia" w:ascii="宋体" w:hAnsi="宋体" w:eastAsia="宋体" w:cs="宋体"/>
              </w:rPr>
              <w:t>1、</w:t>
            </w:r>
            <w:r>
              <w:rPr>
                <w:rFonts w:hint="eastAsia" w:ascii="宋体" w:hAnsi="宋体" w:eastAsia="宋体" w:cs="宋体"/>
                <w:color w:val="000000"/>
                <w:lang w:eastAsia="zh-CN"/>
              </w:rPr>
              <w:t>服务团队成员</w:t>
            </w:r>
            <w:r>
              <w:rPr>
                <w:rFonts w:hint="eastAsia" w:ascii="宋体" w:hAnsi="宋体" w:eastAsia="宋体" w:cs="宋体"/>
              </w:rPr>
              <w:t>从事专职律师工作</w:t>
            </w:r>
            <w:r>
              <w:rPr>
                <w:rFonts w:hint="eastAsia" w:ascii="宋体" w:hAnsi="宋体" w:eastAsia="宋体" w:cs="宋体"/>
                <w:lang w:val="en-US" w:eastAsia="zh-CN"/>
              </w:rPr>
              <w:t>1</w:t>
            </w:r>
            <w:r>
              <w:rPr>
                <w:rFonts w:hint="eastAsia" w:ascii="宋体" w:hAnsi="宋体" w:eastAsia="宋体" w:cs="宋体"/>
              </w:rPr>
              <w:t>0年以上（不含</w:t>
            </w:r>
            <w:r>
              <w:rPr>
                <w:rFonts w:hint="eastAsia" w:ascii="宋体" w:hAnsi="宋体" w:eastAsia="宋体" w:cs="宋体"/>
                <w:lang w:val="en-US" w:eastAsia="zh-CN"/>
              </w:rPr>
              <w:t>1</w:t>
            </w:r>
            <w:r>
              <w:rPr>
                <w:rFonts w:hint="eastAsia" w:ascii="宋体" w:hAnsi="宋体" w:eastAsia="宋体" w:cs="宋体"/>
              </w:rPr>
              <w:t>0年）的，计</w:t>
            </w:r>
            <w:r>
              <w:rPr>
                <w:rFonts w:hint="eastAsia" w:ascii="宋体" w:hAnsi="宋体" w:eastAsia="宋体" w:cs="宋体"/>
                <w:lang w:val="en-US" w:eastAsia="zh-CN"/>
              </w:rPr>
              <w:t>3</w:t>
            </w:r>
            <w:r>
              <w:rPr>
                <w:rFonts w:hint="eastAsia" w:ascii="宋体" w:hAnsi="宋体" w:eastAsia="宋体" w:cs="宋体"/>
              </w:rPr>
              <w:t>分</w:t>
            </w:r>
            <w:r>
              <w:rPr>
                <w:rFonts w:hint="eastAsia" w:ascii="宋体" w:hAnsi="宋体" w:eastAsia="宋体" w:cs="宋体"/>
                <w:color w:val="000000"/>
              </w:rPr>
              <w:t>，此项最高记</w:t>
            </w:r>
            <w:r>
              <w:rPr>
                <w:rFonts w:hint="eastAsia" w:ascii="宋体" w:hAnsi="宋体" w:eastAsia="宋体" w:cs="宋体"/>
                <w:color w:val="000000"/>
                <w:lang w:val="en-US" w:eastAsia="zh-CN"/>
              </w:rPr>
              <w:t>3</w:t>
            </w:r>
            <w:r>
              <w:rPr>
                <w:rFonts w:hint="eastAsia" w:ascii="宋体" w:hAnsi="宋体" w:eastAsia="宋体" w:cs="宋体"/>
                <w:color w:val="000000"/>
              </w:rPr>
              <w:t>分</w:t>
            </w:r>
            <w:r>
              <w:rPr>
                <w:rFonts w:hint="eastAsia" w:ascii="宋体" w:hAnsi="宋体" w:eastAsia="宋体" w:cs="宋体"/>
              </w:rPr>
              <w:t>；</w:t>
            </w:r>
          </w:p>
          <w:p>
            <w:pPr>
              <w:spacing w:line="360" w:lineRule="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按</w:t>
            </w:r>
            <w:r>
              <w:rPr>
                <w:rFonts w:hint="eastAsia" w:ascii="宋体" w:hAnsi="宋体" w:eastAsia="宋体" w:cs="宋体"/>
              </w:rPr>
              <w:t>诉讼标的确定管辖，</w:t>
            </w:r>
            <w:r>
              <w:rPr>
                <w:rFonts w:hint="eastAsia" w:ascii="宋体" w:hAnsi="宋体" w:eastAsia="宋体" w:cs="宋体"/>
                <w:color w:val="000000"/>
                <w:lang w:eastAsia="zh-CN"/>
              </w:rPr>
              <w:t>服务团队成员</w:t>
            </w:r>
            <w:r>
              <w:rPr>
                <w:rFonts w:hint="eastAsia" w:ascii="宋体" w:hAnsi="宋体" w:eastAsia="宋体" w:cs="宋体"/>
              </w:rPr>
              <w:t>在省高级法院承办的一、二审民商事胜诉案件和在最高人民法院承办的一、二审或层报至最高院审查的民商事案件在省级、最高院、司法部（案例库）刊物等平台作为优秀案例选登，每件计1.5分，此项最高记6分；</w:t>
            </w:r>
          </w:p>
          <w:p>
            <w:pPr>
              <w:spacing w:line="360" w:lineRule="auto"/>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color w:val="000000"/>
                <w:szCs w:val="21"/>
              </w:rPr>
              <w:t>注：</w:t>
            </w:r>
            <w:r>
              <w:rPr>
                <w:rFonts w:hint="eastAsia" w:ascii="宋体" w:hAnsi="宋体" w:eastAsia="宋体" w:cs="宋体"/>
              </w:rPr>
              <w:t>提供律师证复印件，有关证书及证明文件复印件,律师证执业律所与</w:t>
            </w:r>
            <w:r>
              <w:rPr>
                <w:rFonts w:hint="eastAsia" w:ascii="宋体" w:hAnsi="宋体" w:eastAsia="宋体" w:cs="宋体"/>
                <w:lang w:eastAsia="zh-CN"/>
              </w:rPr>
              <w:t>参与人</w:t>
            </w:r>
            <w:r>
              <w:rPr>
                <w:rFonts w:hint="eastAsia" w:ascii="宋体" w:hAnsi="宋体" w:eastAsia="宋体" w:cs="宋体"/>
              </w:rPr>
              <w:t>名称一致</w:t>
            </w:r>
            <w:r>
              <w:rPr>
                <w:rFonts w:hint="eastAsia" w:ascii="宋体" w:hAnsi="宋体" w:eastAsia="宋体" w:cs="宋体"/>
                <w:color w:val="000000"/>
                <w:szCs w:val="21"/>
              </w:rPr>
              <w:t>，否则不计分。</w:t>
            </w:r>
          </w:p>
        </w:tc>
        <w:tc>
          <w:tcPr>
            <w:tcW w:w="793" w:type="dxa"/>
            <w:noWrap w:val="0"/>
            <w:vAlign w:val="center"/>
          </w:tcPr>
          <w:p>
            <w:pPr>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lang w:val="en-US" w:eastAsia="zh-CN"/>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jc w:val="center"/>
        </w:trPr>
        <w:tc>
          <w:tcPr>
            <w:tcW w:w="491" w:type="dxa"/>
            <w:noWrap w:val="0"/>
            <w:vAlign w:val="center"/>
          </w:tcPr>
          <w:p>
            <w:pPr>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6</w:t>
            </w:r>
          </w:p>
        </w:tc>
        <w:tc>
          <w:tcPr>
            <w:tcW w:w="1100" w:type="dxa"/>
            <w:noWrap w:val="0"/>
            <w:vAlign w:val="center"/>
          </w:tcPr>
          <w:p>
            <w:pPr>
              <w:spacing w:line="360" w:lineRule="auto"/>
              <w:jc w:val="center"/>
              <w:rPr>
                <w:rFonts w:hint="eastAsia" w:ascii="宋体" w:hAnsi="宋体" w:eastAsia="宋体" w:cs="宋体"/>
              </w:rPr>
            </w:pPr>
            <w:r>
              <w:rPr>
                <w:rFonts w:hint="eastAsia" w:ascii="宋体" w:hAnsi="宋体" w:eastAsia="宋体" w:cs="宋体"/>
                <w:color w:val="000000"/>
                <w:szCs w:val="21"/>
              </w:rPr>
              <w:t>商务响应</w:t>
            </w:r>
            <w:r>
              <w:rPr>
                <w:rFonts w:hint="eastAsia" w:ascii="宋体" w:hAnsi="宋体" w:eastAsia="宋体" w:cs="宋体"/>
                <w:b w:val="0"/>
                <w:bCs w:val="0"/>
                <w:kern w:val="2"/>
                <w:sz w:val="21"/>
                <w:szCs w:val="21"/>
                <w:highlight w:val="none"/>
                <w:lang w:val="en-US" w:eastAsia="en-US" w:bidi="ar-SA"/>
              </w:rPr>
              <w:t>（</w:t>
            </w:r>
            <w:r>
              <w:rPr>
                <w:rFonts w:hint="eastAsia" w:ascii="宋体" w:hAnsi="宋体" w:eastAsia="宋体" w:cs="宋体"/>
                <w:b w:val="0"/>
                <w:bCs w:val="0"/>
                <w:kern w:val="2"/>
                <w:sz w:val="21"/>
                <w:szCs w:val="21"/>
                <w:highlight w:val="none"/>
                <w:lang w:val="en-US" w:eastAsia="zh-CN" w:bidi="ar-SA"/>
              </w:rPr>
              <w:t>3</w:t>
            </w:r>
            <w:r>
              <w:rPr>
                <w:rFonts w:hint="eastAsia" w:ascii="宋体" w:hAnsi="宋体" w:eastAsia="宋体" w:cs="宋体"/>
                <w:b w:val="0"/>
                <w:bCs w:val="0"/>
                <w:kern w:val="2"/>
                <w:sz w:val="21"/>
                <w:szCs w:val="21"/>
                <w:highlight w:val="none"/>
                <w:lang w:val="en-US" w:eastAsia="en-US" w:bidi="ar-SA"/>
              </w:rPr>
              <w:t>分）</w:t>
            </w:r>
          </w:p>
        </w:tc>
        <w:tc>
          <w:tcPr>
            <w:tcW w:w="6509" w:type="dxa"/>
            <w:noWrap w:val="0"/>
            <w:vAlign w:val="center"/>
          </w:tcPr>
          <w:p>
            <w:pPr>
              <w:spacing w:line="360" w:lineRule="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color w:val="000000"/>
                <w:szCs w:val="21"/>
                <w:lang w:val="zh-CN"/>
              </w:rPr>
              <w:t>响应文件没有响应/偏离表的本项不计分。服务响应时间、服务要求和付款方式等商务条款满足采购文件要求的计</w:t>
            </w:r>
            <w:r>
              <w:rPr>
                <w:rFonts w:hint="eastAsia" w:ascii="宋体" w:hAnsi="宋体" w:eastAsia="宋体" w:cs="宋体"/>
                <w:color w:val="000000"/>
                <w:szCs w:val="21"/>
              </w:rPr>
              <w:t>3</w:t>
            </w:r>
            <w:r>
              <w:rPr>
                <w:rFonts w:hint="eastAsia" w:ascii="宋体" w:hAnsi="宋体" w:eastAsia="宋体" w:cs="宋体"/>
                <w:color w:val="000000"/>
                <w:szCs w:val="21"/>
                <w:lang w:val="zh-CN"/>
              </w:rPr>
              <w:t>分。缺项或偏离每处扣</w:t>
            </w:r>
            <w:r>
              <w:rPr>
                <w:rFonts w:hint="eastAsia" w:ascii="宋体" w:hAnsi="宋体" w:eastAsia="宋体" w:cs="宋体"/>
                <w:color w:val="000000"/>
                <w:szCs w:val="21"/>
              </w:rPr>
              <w:t>1</w:t>
            </w:r>
            <w:r>
              <w:rPr>
                <w:rFonts w:hint="eastAsia" w:ascii="宋体" w:hAnsi="宋体" w:eastAsia="宋体" w:cs="宋体"/>
                <w:color w:val="000000"/>
                <w:szCs w:val="21"/>
                <w:lang w:val="zh-CN"/>
              </w:rPr>
              <w:t>分，扣完为止。</w:t>
            </w:r>
          </w:p>
        </w:tc>
        <w:tc>
          <w:tcPr>
            <w:tcW w:w="793" w:type="dxa"/>
            <w:noWrap w:val="0"/>
            <w:vAlign w:val="center"/>
          </w:tcPr>
          <w:p>
            <w:pPr>
              <w:jc w:val="center"/>
              <w:rPr>
                <w:rFonts w:hint="eastAsia" w:ascii="宋体" w:hAnsi="宋体" w:eastAsia="宋体" w:cs="宋体"/>
                <w:lang w:val="en-US"/>
              </w:rPr>
            </w:pPr>
            <w:r>
              <w:rPr>
                <w:rFonts w:hint="eastAsia" w:ascii="宋体" w:hAnsi="宋体" w:eastAsia="宋体" w:cs="宋体"/>
                <w:szCs w:val="21"/>
                <w:lang w:val="en-US" w:eastAsia="zh-CN"/>
              </w:rPr>
              <w:t>3分</w:t>
            </w:r>
          </w:p>
        </w:tc>
      </w:tr>
    </w:tbl>
    <w:p>
      <w:pPr>
        <w:pStyle w:val="5"/>
        <w:rPr>
          <w:rFonts w:hint="eastAsia" w:ascii="宋体" w:hAnsi="宋体" w:eastAsia="宋体" w:cs="宋体"/>
          <w:b w:val="0"/>
          <w:bCs w:val="0"/>
          <w:kern w:val="2"/>
          <w:sz w:val="21"/>
          <w:szCs w:val="21"/>
          <w:highlight w:val="none"/>
          <w:lang w:val="en-US" w:eastAsia="en-US" w:bidi="ar-SA"/>
        </w:rPr>
      </w:pP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五、获取谈判文件的时间、地点、方式</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凡有意参加的单位，请于2023年11月</w:t>
      </w:r>
      <w:r>
        <w:rPr>
          <w:rFonts w:hint="eastAsia" w:ascii="仿宋" w:hAnsi="仿宋" w:eastAsia="仿宋" w:cs="仿宋"/>
          <w:b w:val="0"/>
          <w:bCs w:val="0"/>
          <w:sz w:val="28"/>
          <w:szCs w:val="28"/>
          <w:u w:val="single"/>
          <w:lang w:val="en-US" w:eastAsia="zh-CN"/>
        </w:rPr>
        <w:t>27</w:t>
      </w:r>
      <w:r>
        <w:rPr>
          <w:rFonts w:hint="eastAsia" w:ascii="仿宋" w:hAnsi="仿宋" w:eastAsia="仿宋" w:cs="仿宋"/>
          <w:b w:val="0"/>
          <w:bCs w:val="0"/>
          <w:sz w:val="28"/>
          <w:szCs w:val="28"/>
          <w:lang w:val="en-US" w:eastAsia="zh-CN"/>
        </w:rPr>
        <w:t>日至2023年12月</w:t>
      </w:r>
      <w:r>
        <w:rPr>
          <w:rFonts w:hint="eastAsia" w:ascii="仿宋" w:hAnsi="仿宋" w:eastAsia="仿宋" w:cs="仿宋"/>
          <w:b w:val="0"/>
          <w:bCs w:val="0"/>
          <w:sz w:val="28"/>
          <w:szCs w:val="28"/>
          <w:u w:val="single"/>
          <w:lang w:val="en-US" w:eastAsia="zh-CN"/>
        </w:rPr>
        <w:t>1</w:t>
      </w:r>
      <w:r>
        <w:rPr>
          <w:rFonts w:hint="eastAsia" w:ascii="仿宋" w:hAnsi="仿宋" w:eastAsia="仿宋" w:cs="仿宋"/>
          <w:b w:val="0"/>
          <w:bCs w:val="0"/>
          <w:sz w:val="28"/>
          <w:szCs w:val="28"/>
          <w:lang w:val="en-US" w:eastAsia="zh-CN"/>
        </w:rPr>
        <w:t>日（工作日北京时间9：30至16：30)，由单位法定代表人或授权委托人持本人身份证及参与报名函（原件）并自备U盘，到</w:t>
      </w:r>
      <w:r>
        <w:rPr>
          <w:rFonts w:hint="eastAsia" w:ascii="仿宋" w:hAnsi="仿宋" w:eastAsia="仿宋" w:cs="仿宋"/>
          <w:b w:val="0"/>
          <w:bCs w:val="0"/>
          <w:sz w:val="28"/>
          <w:szCs w:val="36"/>
          <w:lang w:val="en-US" w:eastAsia="zh-CN"/>
        </w:rPr>
        <w:t>湖南湘村电子商务有限公司</w:t>
      </w:r>
      <w:r>
        <w:rPr>
          <w:rFonts w:hint="eastAsia" w:ascii="仿宋" w:hAnsi="仿宋" w:eastAsia="仿宋" w:cs="仿宋"/>
          <w:b w:val="0"/>
          <w:bCs w:val="0"/>
          <w:sz w:val="28"/>
          <w:szCs w:val="28"/>
          <w:lang w:val="en-US" w:eastAsia="zh-CN"/>
        </w:rPr>
        <w:t>256-1办公室，地址：长沙市开福区芙蓉北路1119号（原粮食集团总部大楼中栋）进行报名，获取相关文件资料。</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六、响应文件的相关要求</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（一）响应文件组成：</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1.参与报名函</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2.报价函</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3.法定代表人授权委托书（附身份证、营业执照）</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4.参与人自我简介（包括实力与资信的证明等）</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5.技术服务方案（参与方案请自拟）</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6.业绩证明文件（合同关键页影印件）</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7.其他需要补充的文件（如有）</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9.承诺函（谈判时可能需要，此项单页无须装入密封袋，如不能携章至现场，宜盖章留空由法定代表人或授权代表在现场填写）</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（二）响应文件制作</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各参与人应当按公告的要求编制响应文件，并对比选文件提出的要求和条件作出实质性响应，纸质文件应编制完整的页码、目录，装订成册。响应文件一式三份（正本一份副本两份，如正副本不一致，以正本为准，副本可用正本影印件盖骑缝章），并附全部响应文件的电子版一份，以U盘为介质，公司名称作为文件夹，用信封装好与响应文件一并提交。</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2.响应文件应采用档案袋密封。封皮上注明“项目名称（标段）”、“参与人名称”字样。信封的封口应加盖公章，并标注“于2023年12月</w:t>
      </w:r>
      <w:r>
        <w:rPr>
          <w:rFonts w:hint="eastAsia" w:ascii="仿宋" w:hAnsi="仿宋" w:eastAsia="仿宋" w:cs="仿宋"/>
          <w:b w:val="0"/>
          <w:bCs w:val="0"/>
          <w:sz w:val="28"/>
          <w:szCs w:val="28"/>
          <w:u w:val="single"/>
          <w:lang w:val="en-US" w:eastAsia="zh-CN"/>
        </w:rPr>
        <w:t>4</w:t>
      </w:r>
      <w:r>
        <w:rPr>
          <w:rFonts w:hint="eastAsia" w:ascii="仿宋" w:hAnsi="仿宋" w:eastAsia="仿宋" w:cs="仿宋"/>
          <w:b w:val="0"/>
          <w:bCs w:val="0"/>
          <w:sz w:val="28"/>
          <w:szCs w:val="28"/>
          <w:lang w:val="en-US" w:eastAsia="zh-CN"/>
        </w:rPr>
        <w:t>日</w:t>
      </w:r>
      <w:r>
        <w:rPr>
          <w:rFonts w:hint="eastAsia" w:ascii="仿宋" w:hAnsi="仿宋" w:eastAsia="仿宋" w:cs="仿宋"/>
          <w:b w:val="0"/>
          <w:bCs w:val="0"/>
          <w:sz w:val="28"/>
          <w:szCs w:val="28"/>
          <w:u w:val="single"/>
          <w:lang w:val="en-US" w:eastAsia="zh-CN"/>
        </w:rPr>
        <w:t>9</w:t>
      </w:r>
      <w:r>
        <w:rPr>
          <w:rFonts w:hint="eastAsia" w:ascii="仿宋" w:hAnsi="仿宋" w:eastAsia="仿宋" w:cs="仿宋"/>
          <w:b w:val="0"/>
          <w:bCs w:val="0"/>
          <w:sz w:val="28"/>
          <w:szCs w:val="28"/>
          <w:lang w:val="en-US" w:eastAsia="zh-CN"/>
        </w:rPr>
        <w:t>时</w:t>
      </w:r>
      <w:r>
        <w:rPr>
          <w:rFonts w:hint="eastAsia" w:ascii="仿宋" w:hAnsi="仿宋" w:eastAsia="仿宋" w:cs="仿宋"/>
          <w:b w:val="0"/>
          <w:bCs w:val="0"/>
          <w:sz w:val="28"/>
          <w:szCs w:val="28"/>
          <w:u w:val="single"/>
          <w:lang w:val="en-US" w:eastAsia="zh-CN"/>
        </w:rPr>
        <w:t>30</w:t>
      </w:r>
      <w:r>
        <w:rPr>
          <w:rFonts w:hint="eastAsia" w:ascii="仿宋" w:hAnsi="仿宋" w:eastAsia="仿宋" w:cs="仿宋"/>
          <w:b w:val="0"/>
          <w:bCs w:val="0"/>
          <w:sz w:val="28"/>
          <w:szCs w:val="28"/>
          <w:lang w:val="en-US" w:eastAsia="zh-CN"/>
        </w:rPr>
        <w:t>分前不得启封”。</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（三）响应文件的递交</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响应文件递交截止时间：2023年12月</w:t>
      </w:r>
      <w:r>
        <w:rPr>
          <w:rFonts w:hint="eastAsia" w:ascii="仿宋" w:hAnsi="仿宋" w:eastAsia="仿宋" w:cs="仿宋"/>
          <w:b w:val="0"/>
          <w:bCs w:val="0"/>
          <w:sz w:val="28"/>
          <w:szCs w:val="28"/>
          <w:u w:val="single"/>
          <w:lang w:val="en-US" w:eastAsia="zh-CN"/>
        </w:rPr>
        <w:t>1</w:t>
      </w:r>
      <w:r>
        <w:rPr>
          <w:rFonts w:hint="eastAsia" w:ascii="仿宋" w:hAnsi="仿宋" w:eastAsia="仿宋" w:cs="仿宋"/>
          <w:b w:val="0"/>
          <w:bCs w:val="0"/>
          <w:sz w:val="28"/>
          <w:szCs w:val="28"/>
          <w:lang w:val="en-US" w:eastAsia="zh-CN"/>
        </w:rPr>
        <w:t>日</w:t>
      </w:r>
      <w:r>
        <w:rPr>
          <w:rFonts w:hint="eastAsia" w:ascii="仿宋" w:hAnsi="仿宋" w:eastAsia="仿宋" w:cs="仿宋"/>
          <w:b w:val="0"/>
          <w:bCs w:val="0"/>
          <w:sz w:val="28"/>
          <w:szCs w:val="28"/>
          <w:u w:val="single"/>
          <w:lang w:val="en-US" w:eastAsia="zh-CN"/>
        </w:rPr>
        <w:t>17</w:t>
      </w:r>
      <w:r>
        <w:rPr>
          <w:rFonts w:hint="eastAsia" w:ascii="仿宋" w:hAnsi="仿宋" w:eastAsia="仿宋" w:cs="仿宋"/>
          <w:b w:val="0"/>
          <w:bCs w:val="0"/>
          <w:sz w:val="28"/>
          <w:szCs w:val="28"/>
          <w:lang w:val="en-US" w:eastAsia="zh-CN"/>
        </w:rPr>
        <w:t>时</w:t>
      </w:r>
      <w:r>
        <w:rPr>
          <w:rFonts w:hint="eastAsia" w:ascii="仿宋" w:hAnsi="仿宋" w:eastAsia="仿宋" w:cs="仿宋"/>
          <w:b w:val="0"/>
          <w:bCs w:val="0"/>
          <w:sz w:val="28"/>
          <w:szCs w:val="28"/>
          <w:u w:val="single"/>
          <w:lang w:val="en-US" w:eastAsia="zh-CN"/>
        </w:rPr>
        <w:t>00</w:t>
      </w:r>
      <w:r>
        <w:rPr>
          <w:rFonts w:hint="eastAsia" w:ascii="仿宋" w:hAnsi="仿宋" w:eastAsia="仿宋" w:cs="仿宋"/>
          <w:b w:val="0"/>
          <w:bCs w:val="0"/>
          <w:sz w:val="28"/>
          <w:szCs w:val="28"/>
          <w:lang w:val="en-US" w:eastAsia="zh-CN"/>
        </w:rPr>
        <w:t>分（北京时间），在截止时间后送达的响应文件为无效文件，采购人或谈判小组将拒收。</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递交地点：长沙市开福区芙蓉北路1119号（原粮食集团总部大楼北栋）</w:t>
      </w:r>
      <w:r>
        <w:rPr>
          <w:rFonts w:hint="eastAsia" w:ascii="仿宋" w:hAnsi="仿宋" w:eastAsia="仿宋" w:cs="仿宋"/>
          <w:b w:val="0"/>
          <w:bCs w:val="0"/>
          <w:sz w:val="28"/>
          <w:szCs w:val="36"/>
          <w:lang w:val="en-US" w:eastAsia="zh-CN"/>
        </w:rPr>
        <w:t>湖南湘村电子商务有限公司</w:t>
      </w:r>
      <w:r>
        <w:rPr>
          <w:rFonts w:hint="eastAsia" w:ascii="仿宋" w:hAnsi="仿宋" w:eastAsia="仿宋" w:cs="仿宋"/>
          <w:b w:val="0"/>
          <w:bCs w:val="0"/>
          <w:sz w:val="28"/>
          <w:szCs w:val="28"/>
          <w:lang w:val="en-US" w:eastAsia="zh-CN"/>
        </w:rPr>
        <w:t>256-1办公室。</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接到竞争性谈判通知后，参与单位的法人代表或法人授权代表（项目负责人）须2023年12月4日14时00分至原粮食集团总部大楼中栋内通知地点（长沙市开福区芙蓉北路1119号）准时参加谈判会议，按参与单位到达的先后顺序进行，无故不参加者，取消其入选资格。</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五、联系方式及监督机构</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1、联系人：</w:t>
      </w:r>
      <w:r>
        <w:rPr>
          <w:rFonts w:hint="eastAsia" w:ascii="仿宋" w:hAnsi="仿宋" w:eastAsia="仿宋" w:cs="仿宋"/>
          <w:b w:val="0"/>
          <w:bCs w:val="0"/>
          <w:sz w:val="28"/>
          <w:szCs w:val="28"/>
          <w:u w:val="single"/>
          <w:lang w:val="en-US" w:eastAsia="zh-CN"/>
        </w:rPr>
        <w:t>谭登</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联系电话：</w:t>
      </w:r>
      <w:r>
        <w:rPr>
          <w:rFonts w:hint="eastAsia" w:ascii="仿宋" w:hAnsi="仿宋" w:eastAsia="仿宋" w:cs="仿宋"/>
          <w:b w:val="0"/>
          <w:bCs w:val="0"/>
          <w:sz w:val="28"/>
          <w:szCs w:val="28"/>
          <w:u w:val="single"/>
          <w:lang w:val="en-US" w:eastAsia="zh-CN"/>
        </w:rPr>
        <w:t>18670498587（微信同号）</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2、联系地址：长沙市开福区芙蓉北路1119号（原粮食集团总部大楼北栋）</w:t>
      </w:r>
      <w:r>
        <w:rPr>
          <w:rFonts w:hint="eastAsia" w:ascii="仿宋" w:hAnsi="仿宋" w:eastAsia="仿宋" w:cs="仿宋"/>
          <w:b w:val="0"/>
          <w:bCs w:val="0"/>
          <w:sz w:val="28"/>
          <w:szCs w:val="36"/>
          <w:lang w:val="en-US" w:eastAsia="zh-CN"/>
        </w:rPr>
        <w:t>湖南湘村电子商务有限公司</w:t>
      </w:r>
      <w:r>
        <w:rPr>
          <w:rFonts w:hint="eastAsia" w:ascii="仿宋" w:hAnsi="仿宋" w:eastAsia="仿宋" w:cs="仿宋"/>
          <w:b w:val="0"/>
          <w:bCs w:val="0"/>
          <w:sz w:val="28"/>
          <w:szCs w:val="28"/>
          <w:lang w:val="en-US" w:eastAsia="zh-CN"/>
        </w:rPr>
        <w:t>256-1办公室</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3、本公告将在</w:t>
      </w:r>
      <w:r>
        <w:rPr>
          <w:rFonts w:hint="eastAsia" w:ascii="仿宋" w:hAnsi="仿宋" w:eastAsia="仿宋" w:cs="仿宋"/>
          <w:b w:val="0"/>
          <w:bCs w:val="0"/>
          <w:sz w:val="28"/>
          <w:szCs w:val="28"/>
          <w:u w:val="single"/>
          <w:lang w:val="en-US" w:eastAsia="zh-CN"/>
        </w:rPr>
        <w:t xml:space="preserve"> 湖南湖湘商贸股份有限公司微信公众号、湖南湖湘商贸股份有限公司官网 </w:t>
      </w:r>
      <w:r>
        <w:rPr>
          <w:rFonts w:hint="eastAsia" w:ascii="仿宋" w:hAnsi="仿宋" w:eastAsia="仿宋" w:cs="仿宋"/>
          <w:b w:val="0"/>
          <w:bCs w:val="0"/>
          <w:sz w:val="28"/>
          <w:szCs w:val="28"/>
          <w:lang w:val="en-US" w:eastAsia="zh-CN"/>
        </w:rPr>
        <w:t>上发布。</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val="en-US" w:eastAsia="zh-CN"/>
        </w:rPr>
        <w:t>4、监督人：</w:t>
      </w:r>
      <w:r>
        <w:rPr>
          <w:rFonts w:hint="eastAsia" w:ascii="仿宋" w:hAnsi="仿宋" w:eastAsia="仿宋" w:cs="仿宋"/>
          <w:b w:val="0"/>
          <w:bCs w:val="0"/>
          <w:sz w:val="28"/>
          <w:szCs w:val="28"/>
          <w:u w:val="single"/>
          <w:lang w:val="en-US" w:eastAsia="zh-CN"/>
        </w:rPr>
        <w:t xml:space="preserve">  黄少良 15073161581  </w:t>
      </w:r>
      <w:r>
        <w:rPr>
          <w:rFonts w:hint="eastAsia" w:ascii="仿宋" w:hAnsi="仿宋" w:eastAsia="仿宋" w:cs="仿宋"/>
          <w:b w:val="0"/>
          <w:bCs w:val="0"/>
          <w:sz w:val="28"/>
          <w:szCs w:val="28"/>
          <w:u w:val="none"/>
          <w:lang w:val="en-US" w:eastAsia="zh-CN"/>
        </w:rPr>
        <w:t>。</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textAlignment w:val="auto"/>
        <w:rPr>
          <w:rFonts w:hint="eastAsia" w:ascii="仿宋" w:hAnsi="仿宋" w:eastAsia="仿宋" w:cs="仿宋"/>
          <w:b w:val="0"/>
          <w:bCs w:val="0"/>
          <w:sz w:val="28"/>
          <w:szCs w:val="28"/>
          <w:u w:val="none"/>
          <w:lang w:val="en-US" w:eastAsia="zh-CN"/>
        </w:rPr>
      </w:pPr>
    </w:p>
    <w:p>
      <w:pPr>
        <w:spacing w:line="500" w:lineRule="exact"/>
        <w:jc w:val="center"/>
        <w:rPr>
          <w:rFonts w:hint="eastAsia" w:ascii="黑体" w:hAnsi="黑体" w:eastAsia="黑体" w:cs="仿宋_GB2312"/>
          <w:sz w:val="44"/>
          <w:szCs w:val="44"/>
          <w:lang w:eastAsia="zh-CN"/>
        </w:rPr>
      </w:pPr>
      <w:r>
        <w:rPr>
          <w:rFonts w:hint="eastAsia" w:ascii="黑体" w:hAnsi="黑体" w:eastAsia="黑体" w:cs="仿宋_GB2312"/>
          <w:sz w:val="44"/>
          <w:szCs w:val="44"/>
          <w:lang w:eastAsia="zh-CN"/>
        </w:rPr>
        <w:t>参与报名函</w:t>
      </w:r>
    </w:p>
    <w:p>
      <w:pPr>
        <w:spacing w:line="460" w:lineRule="exact"/>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b/>
          <w:bCs/>
          <w:sz w:val="28"/>
          <w:szCs w:val="28"/>
          <w:u w:val="single"/>
          <w:lang w:eastAsia="zh-CN"/>
        </w:rPr>
      </w:pPr>
      <w:r>
        <w:rPr>
          <w:rFonts w:hint="eastAsia" w:ascii="仿宋_GB2312" w:hAnsi="仿宋_GB2312" w:eastAsia="仿宋_GB2312" w:cs="仿宋_GB2312"/>
          <w:b/>
          <w:bCs/>
          <w:sz w:val="28"/>
          <w:szCs w:val="28"/>
        </w:rPr>
        <w:t>致：</w:t>
      </w:r>
      <w:r>
        <w:rPr>
          <w:rFonts w:hint="eastAsia" w:ascii="仿宋_GB2312" w:hAnsi="仿宋_GB2312" w:eastAsia="仿宋_GB2312" w:cs="仿宋_GB2312"/>
          <w:b/>
          <w:bCs/>
          <w:sz w:val="28"/>
          <w:szCs w:val="28"/>
          <w:u w:val="single"/>
          <w:lang w:val="en-US" w:eastAsia="zh-CN"/>
        </w:rPr>
        <w:t>湖南湘村电子商务有限公司</w:t>
      </w:r>
    </w:p>
    <w:p>
      <w:pPr>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我方看到贵方发布的《</w:t>
      </w:r>
      <w:r>
        <w:rPr>
          <w:rFonts w:hint="eastAsia" w:ascii="仿宋_GB2312" w:hAnsi="仿宋_GB2312" w:eastAsia="仿宋_GB2312" w:cs="仿宋_GB2312"/>
          <w:sz w:val="28"/>
          <w:szCs w:val="28"/>
          <w:lang w:val="en-US" w:eastAsia="zh-CN"/>
        </w:rPr>
        <w:t>湖南湘村电子商务有</w:t>
      </w:r>
      <w:r>
        <w:rPr>
          <w:rFonts w:hint="eastAsia" w:ascii="仿宋_GB2312" w:hAnsi="仿宋_GB2312" w:eastAsia="仿宋_GB2312" w:cs="仿宋_GB2312"/>
          <w:b w:val="0"/>
          <w:bCs w:val="0"/>
          <w:sz w:val="28"/>
          <w:szCs w:val="28"/>
          <w:u w:val="none"/>
          <w:lang w:val="en-US" w:eastAsia="zh-CN"/>
        </w:rPr>
        <w:t>限公司关于合同纠纷诉讼代理服务标的三的采购公告</w:t>
      </w:r>
      <w:r>
        <w:rPr>
          <w:rFonts w:hint="eastAsia" w:ascii="仿宋_GB2312" w:hAnsi="仿宋_GB2312" w:eastAsia="仿宋_GB2312" w:cs="仿宋_GB2312"/>
          <w:sz w:val="28"/>
          <w:szCs w:val="28"/>
          <w:lang w:eastAsia="zh-CN"/>
        </w:rPr>
        <w:t>》，我方经研究决定报名参加。</w:t>
      </w:r>
    </w:p>
    <w:p>
      <w:pPr>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我方参加</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的法人授权代表为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系我方</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single"/>
          <w:lang w:eastAsia="zh-CN"/>
        </w:rPr>
        <w:sym w:font="Wingdings" w:char="00A8"/>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single"/>
          <w:lang w:eastAsia="zh-CN"/>
        </w:rPr>
        <w:t>主任律师</w:t>
      </w:r>
      <w:r>
        <w:rPr>
          <w:rFonts w:hint="eastAsia" w:ascii="仿宋_GB2312" w:hAnsi="仿宋_GB2312" w:eastAsia="仿宋_GB2312" w:cs="仿宋_GB2312"/>
          <w:b w:val="0"/>
          <w:bCs w:val="0"/>
          <w:sz w:val="28"/>
          <w:szCs w:val="28"/>
          <w:u w:val="single"/>
          <w:lang w:val="en-US" w:eastAsia="zh-CN"/>
        </w:rPr>
        <w:t xml:space="preserve"> / </w:t>
      </w:r>
      <w:r>
        <w:rPr>
          <w:rFonts w:hint="eastAsia" w:ascii="仿宋_GB2312" w:hAnsi="仿宋_GB2312" w:eastAsia="仿宋_GB2312" w:cs="仿宋_GB2312"/>
          <w:b w:val="0"/>
          <w:bCs w:val="0"/>
          <w:sz w:val="28"/>
          <w:szCs w:val="28"/>
          <w:u w:val="single"/>
          <w:lang w:eastAsia="zh-CN"/>
        </w:rPr>
        <w:sym w:font="Wingdings" w:char="00A8"/>
      </w:r>
      <w:r>
        <w:rPr>
          <w:rFonts w:hint="eastAsia" w:ascii="仿宋_GB2312" w:hAnsi="仿宋_GB2312" w:eastAsia="仿宋_GB2312" w:cs="仿宋_GB2312"/>
          <w:b w:val="0"/>
          <w:bCs w:val="0"/>
          <w:sz w:val="28"/>
          <w:szCs w:val="28"/>
          <w:u w:val="single"/>
          <w:lang w:val="en-US" w:eastAsia="zh-CN"/>
        </w:rPr>
        <w:t xml:space="preserve"> 律师 </w:t>
      </w:r>
      <w:r>
        <w:rPr>
          <w:rFonts w:hint="eastAsia" w:ascii="仿宋_GB2312" w:hAnsi="仿宋_GB2312" w:eastAsia="仿宋_GB2312" w:cs="仿宋_GB2312"/>
          <w:b w:val="0"/>
          <w:bCs w:val="0"/>
          <w:sz w:val="28"/>
          <w:szCs w:val="28"/>
          <w:u w:val="none"/>
          <w:lang w:val="en-US" w:eastAsia="zh-CN"/>
        </w:rPr>
        <w:t>，资格证书号码：</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sz w:val="28"/>
          <w:szCs w:val="28"/>
        </w:rPr>
        <w:t>。</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在谈判、评审或合同签署过程中，该授权代表签署的一切文件和文书，我方均予以认可，并承担相关责任</w:t>
      </w:r>
      <w:r>
        <w:rPr>
          <w:rFonts w:hint="eastAsia" w:ascii="仿宋_GB2312" w:hAnsi="仿宋_GB2312" w:eastAsia="仿宋_GB2312" w:cs="仿宋_GB2312"/>
          <w:sz w:val="28"/>
          <w:szCs w:val="28"/>
        </w:rPr>
        <w:t>。</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我方已完全明白贵方发布公告的所有条款要求，并重申以下几点：</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一、我方完全同意并认可贵方</w:t>
      </w:r>
      <w:r>
        <w:rPr>
          <w:rFonts w:hint="eastAsia" w:ascii="仿宋_GB2312" w:hAnsi="仿宋_GB2312" w:eastAsia="仿宋_GB2312" w:cs="仿宋_GB2312"/>
          <w:sz w:val="28"/>
          <w:szCs w:val="28"/>
          <w:lang w:eastAsia="zh-CN"/>
        </w:rPr>
        <w:t>评选</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评标的方法</w:t>
      </w:r>
      <w:r>
        <w:rPr>
          <w:rFonts w:hint="eastAsia" w:ascii="仿宋_GB2312" w:hAnsi="仿宋_GB2312" w:eastAsia="仿宋_GB2312" w:cs="仿宋_GB2312"/>
          <w:sz w:val="28"/>
          <w:szCs w:val="28"/>
          <w:lang w:eastAsia="zh-CN"/>
        </w:rPr>
        <w:t>及结果</w:t>
      </w:r>
      <w:r>
        <w:rPr>
          <w:rFonts w:hint="eastAsia" w:ascii="仿宋_GB2312" w:hAnsi="仿宋_GB2312" w:eastAsia="仿宋_GB2312" w:cs="仿宋_GB2312"/>
          <w:sz w:val="28"/>
          <w:szCs w:val="28"/>
        </w:rPr>
        <w:t>；</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二、我方同意贵方公告提出的</w:t>
      </w:r>
      <w:r>
        <w:rPr>
          <w:rFonts w:hint="eastAsia" w:ascii="仿宋_GB2312" w:hAnsi="仿宋_GB2312" w:eastAsia="仿宋_GB2312" w:cs="仿宋_GB2312"/>
          <w:sz w:val="28"/>
          <w:szCs w:val="28"/>
          <w:lang w:eastAsia="zh-CN"/>
        </w:rPr>
        <w:t>全部</w:t>
      </w:r>
      <w:r>
        <w:rPr>
          <w:rFonts w:hint="eastAsia" w:ascii="仿宋_GB2312" w:hAnsi="仿宋_GB2312" w:eastAsia="仿宋_GB2312" w:cs="仿宋_GB2312"/>
          <w:sz w:val="28"/>
          <w:szCs w:val="28"/>
        </w:rPr>
        <w:t>要求；</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三、若我方</w:t>
      </w:r>
      <w:r>
        <w:rPr>
          <w:rFonts w:hint="eastAsia" w:ascii="仿宋_GB2312" w:hAnsi="仿宋_GB2312" w:eastAsia="仿宋_GB2312" w:cs="仿宋_GB2312"/>
          <w:sz w:val="28"/>
          <w:szCs w:val="28"/>
          <w:lang w:eastAsia="zh-CN"/>
        </w:rPr>
        <w:t>入选</w:t>
      </w:r>
      <w:r>
        <w:rPr>
          <w:rFonts w:hint="eastAsia" w:ascii="仿宋_GB2312" w:hAnsi="仿宋_GB2312" w:eastAsia="仿宋_GB2312" w:cs="仿宋_GB2312"/>
          <w:sz w:val="28"/>
          <w:szCs w:val="28"/>
        </w:rPr>
        <w:t>，我方将保证履行公告要求，及时签订合同，并按合同约定完成</w:t>
      </w:r>
      <w:r>
        <w:rPr>
          <w:rFonts w:hint="eastAsia" w:ascii="仿宋_GB2312" w:hAnsi="仿宋_GB2312" w:eastAsia="仿宋_GB2312" w:cs="仿宋_GB2312"/>
          <w:sz w:val="28"/>
          <w:szCs w:val="28"/>
          <w:lang w:eastAsia="zh-CN"/>
        </w:rPr>
        <w:t>全部</w:t>
      </w:r>
      <w:r>
        <w:rPr>
          <w:rFonts w:hint="eastAsia" w:ascii="仿宋_GB2312" w:hAnsi="仿宋_GB2312" w:eastAsia="仿宋_GB2312" w:cs="仿宋_GB2312"/>
          <w:sz w:val="28"/>
          <w:szCs w:val="28"/>
        </w:rPr>
        <w:t>工作。</w:t>
      </w:r>
    </w:p>
    <w:p>
      <w:pPr>
        <w:spacing w:line="500" w:lineRule="exact"/>
        <w:rPr>
          <w:rFonts w:hint="eastAsia" w:ascii="仿宋_GB2312" w:hAnsi="仿宋_GB2312" w:eastAsia="仿宋_GB2312" w:cs="仿宋_GB2312"/>
          <w:sz w:val="28"/>
          <w:szCs w:val="28"/>
          <w:lang w:eastAsia="zh-CN"/>
        </w:rPr>
      </w:pPr>
    </w:p>
    <w:p>
      <w:pPr>
        <w:spacing w:line="50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附：营业执照、法人代表及授权代表身份证、资格证书复印件</w:t>
      </w:r>
      <w:r>
        <w:rPr>
          <w:rFonts w:hint="eastAsia" w:ascii="仿宋_GB2312" w:hAnsi="仿宋_GB2312" w:eastAsia="仿宋_GB2312" w:cs="仿宋_GB2312"/>
          <w:sz w:val="28"/>
          <w:szCs w:val="28"/>
          <w:lang w:val="en-US" w:eastAsia="zh-CN"/>
        </w:rPr>
        <w:t xml:space="preserve"> </w:t>
      </w:r>
    </w:p>
    <w:p>
      <w:pPr>
        <w:spacing w:line="500" w:lineRule="exact"/>
        <w:ind w:firstLine="560" w:firstLineChars="200"/>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参</w:t>
      </w:r>
      <w:r>
        <w:rPr>
          <w:rFonts w:hint="eastAsia" w:ascii="仿宋_GB2312" w:hAnsi="仿宋_GB2312" w:eastAsia="仿宋_GB2312" w:cs="仿宋_GB2312"/>
          <w:sz w:val="28"/>
          <w:szCs w:val="28"/>
          <w:lang w:eastAsia="zh-CN"/>
        </w:rPr>
        <w:t>与</w:t>
      </w:r>
      <w:r>
        <w:rPr>
          <w:rFonts w:hint="eastAsia" w:ascii="仿宋_GB2312" w:hAnsi="仿宋_GB2312" w:eastAsia="仿宋_GB2312" w:cs="仿宋_GB2312"/>
          <w:sz w:val="28"/>
          <w:szCs w:val="28"/>
        </w:rPr>
        <w:t xml:space="preserve">单位（公章）：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法人代表（签字）：</w:t>
      </w:r>
    </w:p>
    <w:p>
      <w:pPr>
        <w:spacing w:line="500" w:lineRule="exact"/>
        <w:rPr>
          <w:rFonts w:hint="eastAsia" w:ascii="仿宋_GB2312" w:hAnsi="仿宋_GB2312" w:eastAsia="仿宋_GB2312" w:cs="仿宋_GB2312"/>
          <w:sz w:val="28"/>
          <w:szCs w:val="28"/>
        </w:rPr>
      </w:pPr>
    </w:p>
    <w:p>
      <w:pPr>
        <w:spacing w:line="50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邮箱：</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联系</w:t>
      </w: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spacing w:line="500" w:lineRule="exact"/>
        <w:ind w:firstLine="1960" w:firstLineChars="700"/>
        <w:rPr>
          <w:rFonts w:hint="eastAsia" w:ascii="仿宋_GB2312" w:hAnsi="仿宋_GB2312" w:eastAsia="仿宋_GB2312" w:cs="仿宋_GB2312"/>
          <w:sz w:val="28"/>
          <w:szCs w:val="28"/>
        </w:rPr>
      </w:pPr>
    </w:p>
    <w:p>
      <w:pPr>
        <w:spacing w:line="500" w:lineRule="exact"/>
        <w:ind w:firstLine="1960" w:firstLineChars="7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pStyle w:val="5"/>
        <w:ind w:left="0" w:leftChars="0" w:firstLine="0" w:firstLineChars="0"/>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spacing w:line="500" w:lineRule="exact"/>
        <w:jc w:val="center"/>
        <w:rPr>
          <w:rFonts w:hint="eastAsia" w:ascii="黑体" w:hAnsi="黑体" w:eastAsia="黑体" w:cs="仿宋_GB2312"/>
          <w:sz w:val="44"/>
          <w:szCs w:val="44"/>
          <w:lang w:eastAsia="zh-CN"/>
        </w:rPr>
      </w:pPr>
      <w:r>
        <w:rPr>
          <w:rFonts w:hint="eastAsia" w:ascii="黑体" w:hAnsi="黑体" w:eastAsia="黑体" w:cs="仿宋_GB2312"/>
          <w:sz w:val="44"/>
          <w:szCs w:val="44"/>
          <w:lang w:eastAsia="zh-CN"/>
        </w:rPr>
        <w:t>报</w:t>
      </w:r>
      <w:r>
        <w:rPr>
          <w:rFonts w:hint="eastAsia" w:ascii="黑体" w:hAnsi="黑体" w:eastAsia="黑体" w:cs="仿宋_GB2312"/>
          <w:sz w:val="44"/>
          <w:szCs w:val="44"/>
          <w:lang w:val="en-US" w:eastAsia="zh-CN"/>
        </w:rPr>
        <w:t xml:space="preserve"> </w:t>
      </w:r>
      <w:r>
        <w:rPr>
          <w:rFonts w:hint="eastAsia" w:ascii="黑体" w:hAnsi="黑体" w:eastAsia="黑体" w:cs="仿宋_GB2312"/>
          <w:sz w:val="44"/>
          <w:szCs w:val="44"/>
          <w:lang w:eastAsia="zh-CN"/>
        </w:rPr>
        <w:t>价</w:t>
      </w:r>
      <w:r>
        <w:rPr>
          <w:rFonts w:hint="eastAsia" w:ascii="黑体" w:hAnsi="黑体" w:eastAsia="黑体" w:cs="仿宋_GB2312"/>
          <w:sz w:val="44"/>
          <w:szCs w:val="44"/>
          <w:lang w:val="en-US" w:eastAsia="zh-CN"/>
        </w:rPr>
        <w:t xml:space="preserve"> </w:t>
      </w:r>
      <w:r>
        <w:rPr>
          <w:rFonts w:hint="eastAsia" w:ascii="黑体" w:hAnsi="黑体" w:eastAsia="黑体" w:cs="仿宋_GB2312"/>
          <w:sz w:val="44"/>
          <w:szCs w:val="44"/>
          <w:lang w:eastAsia="zh-CN"/>
        </w:rPr>
        <w:t>函</w:t>
      </w:r>
    </w:p>
    <w:p>
      <w:pPr>
        <w:spacing w:line="460" w:lineRule="exact"/>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致：</w:t>
      </w:r>
      <w:r>
        <w:rPr>
          <w:rFonts w:hint="eastAsia" w:ascii="仿宋_GB2312" w:hAnsi="仿宋_GB2312" w:eastAsia="仿宋_GB2312" w:cs="仿宋_GB2312"/>
          <w:b/>
          <w:bCs/>
          <w:sz w:val="28"/>
          <w:szCs w:val="28"/>
          <w:lang w:val="en-US" w:eastAsia="zh-CN"/>
        </w:rPr>
        <w:t>湖南湘村电子商务有限公司</w:t>
      </w:r>
    </w:p>
    <w:p>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根据贵方发布的《</w:t>
      </w:r>
      <w:r>
        <w:rPr>
          <w:rFonts w:hint="eastAsia" w:ascii="仿宋_GB2312" w:hAnsi="仿宋_GB2312" w:eastAsia="仿宋_GB2312" w:cs="仿宋_GB2312"/>
          <w:sz w:val="28"/>
          <w:szCs w:val="28"/>
          <w:lang w:val="en-US" w:eastAsia="zh-CN"/>
        </w:rPr>
        <w:t>湖南湘村电子商务有</w:t>
      </w:r>
      <w:r>
        <w:rPr>
          <w:rFonts w:hint="eastAsia" w:ascii="仿宋_GB2312" w:hAnsi="仿宋_GB2312" w:eastAsia="仿宋_GB2312" w:cs="仿宋_GB2312"/>
          <w:b w:val="0"/>
          <w:bCs w:val="0"/>
          <w:sz w:val="28"/>
          <w:szCs w:val="28"/>
          <w:u w:val="none"/>
          <w:lang w:val="en-US" w:eastAsia="zh-CN"/>
        </w:rPr>
        <w:t>限公司关于合同纠纷诉讼代理服务标的三的采购公告</w:t>
      </w:r>
      <w:r>
        <w:rPr>
          <w:rFonts w:hint="eastAsia" w:ascii="仿宋_GB2312" w:hAnsi="仿宋_GB2312" w:eastAsia="仿宋_GB2312" w:cs="仿宋_GB2312"/>
          <w:sz w:val="28"/>
          <w:szCs w:val="28"/>
          <w:lang w:eastAsia="zh-CN"/>
        </w:rPr>
        <w:t>》，我方愿意参与，</w:t>
      </w:r>
      <w:r>
        <w:rPr>
          <w:rFonts w:hint="eastAsia" w:ascii="仿宋_GB2312" w:hAnsi="仿宋_GB2312" w:eastAsia="仿宋_GB2312" w:cs="仿宋_GB2312"/>
          <w:sz w:val="28"/>
          <w:szCs w:val="28"/>
          <w:lang w:val="en-US" w:eastAsia="zh-CN"/>
        </w:rPr>
        <w:t>关于服务费用作出如下报价：</w:t>
      </w:r>
    </w:p>
    <w:p>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36"/>
          <w:u w:val="single"/>
          <w:lang w:val="en-US" w:eastAsia="zh-CN"/>
        </w:rPr>
        <w:t>湖南湘村电子商务有限公司</w:t>
      </w:r>
      <w:r>
        <w:rPr>
          <w:rFonts w:hint="eastAsia" w:ascii="仿宋_GB2312" w:hAnsi="仿宋_GB2312" w:eastAsia="仿宋_GB2312" w:cs="仿宋_GB2312"/>
          <w:b w:val="0"/>
          <w:bCs w:val="0"/>
          <w:sz w:val="28"/>
          <w:szCs w:val="28"/>
          <w:u w:val="single"/>
          <w:lang w:val="en-US" w:eastAsia="zh-CN"/>
        </w:rPr>
        <w:t>合同纠纷诉讼代理服务标的三</w:t>
      </w:r>
      <w:r>
        <w:rPr>
          <w:rFonts w:hint="eastAsia" w:ascii="仿宋_GB2312" w:hAnsi="仿宋_GB2312" w:eastAsia="仿宋_GB2312" w:cs="仿宋_GB2312"/>
          <w:b w:val="0"/>
          <w:bCs w:val="0"/>
          <w:sz w:val="28"/>
          <w:szCs w:val="28"/>
          <w:u w:val="none"/>
          <w:lang w:val="en-US" w:eastAsia="zh-CN"/>
        </w:rPr>
        <w:t>的</w:t>
      </w:r>
      <w:r>
        <w:rPr>
          <w:rFonts w:hint="eastAsia" w:ascii="仿宋_GB2312" w:hAnsi="仿宋_GB2312" w:eastAsia="仿宋_GB2312" w:cs="仿宋_GB2312"/>
          <w:sz w:val="28"/>
          <w:szCs w:val="28"/>
          <w:lang w:val="en-US" w:eastAsia="zh-CN"/>
        </w:rPr>
        <w:t>服务费：总额人民币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元（小写￥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），其中固定金额基本代理费</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万元+风险代理费按实现债权金额的</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万元。</w:t>
      </w:r>
    </w:p>
    <w:p>
      <w:pPr>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今后我方将按照此报价计算收取服务费用，与贵方签订相关合同</w:t>
      </w:r>
      <w:r>
        <w:rPr>
          <w:rFonts w:hint="eastAsia" w:ascii="仿宋_GB2312" w:hAnsi="仿宋_GB2312" w:eastAsia="仿宋_GB2312" w:cs="仿宋_GB2312"/>
          <w:sz w:val="28"/>
          <w:szCs w:val="28"/>
        </w:rPr>
        <w:t>，并按合同约定完成</w:t>
      </w:r>
      <w:r>
        <w:rPr>
          <w:rFonts w:hint="eastAsia" w:ascii="仿宋_GB2312" w:hAnsi="仿宋_GB2312" w:eastAsia="仿宋_GB2312" w:cs="仿宋_GB2312"/>
          <w:sz w:val="28"/>
          <w:szCs w:val="28"/>
          <w:lang w:eastAsia="zh-CN"/>
        </w:rPr>
        <w:t>全部</w:t>
      </w:r>
      <w:r>
        <w:rPr>
          <w:rFonts w:hint="eastAsia" w:ascii="仿宋_GB2312" w:hAnsi="仿宋_GB2312" w:eastAsia="仿宋_GB2312" w:cs="仿宋_GB2312"/>
          <w:sz w:val="28"/>
          <w:szCs w:val="28"/>
        </w:rPr>
        <w:t>工作</w:t>
      </w:r>
      <w:r>
        <w:rPr>
          <w:rFonts w:hint="eastAsia" w:ascii="仿宋_GB2312" w:hAnsi="仿宋_GB2312" w:eastAsia="仿宋_GB2312" w:cs="仿宋_GB2312"/>
          <w:sz w:val="28"/>
          <w:szCs w:val="28"/>
          <w:lang w:eastAsia="zh-CN"/>
        </w:rPr>
        <w:t>。</w:t>
      </w:r>
    </w:p>
    <w:p>
      <w:pPr>
        <w:spacing w:line="500" w:lineRule="exact"/>
        <w:rPr>
          <w:rFonts w:hint="eastAsia" w:ascii="仿宋_GB2312" w:hAnsi="仿宋_GB2312" w:eastAsia="仿宋_GB2312" w:cs="仿宋_GB2312"/>
          <w:sz w:val="28"/>
          <w:szCs w:val="28"/>
        </w:rPr>
      </w:pP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 xml:space="preserve">单位（公章）：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p>
    <w:p>
      <w:pPr>
        <w:spacing w:line="500" w:lineRule="exact"/>
        <w:rPr>
          <w:rFonts w:hint="eastAsia" w:ascii="仿宋_GB2312" w:hAnsi="仿宋_GB2312" w:eastAsia="仿宋_GB2312" w:cs="仿宋_GB2312"/>
          <w:sz w:val="32"/>
          <w:szCs w:val="32"/>
          <w:lang w:eastAsia="zh-CN"/>
        </w:rPr>
      </w:pPr>
    </w:p>
    <w:p>
      <w:pPr>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授权代表（签字）：</w:t>
      </w:r>
    </w:p>
    <w:p>
      <w:pPr>
        <w:spacing w:line="500" w:lineRule="exact"/>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p>
    <w:p>
      <w:pPr>
        <w:spacing w:line="500" w:lineRule="exact"/>
        <w:ind w:firstLine="560" w:firstLineChars="200"/>
        <w:jc w:val="righ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日期：     年    月    日</w:t>
      </w:r>
    </w:p>
    <w:p>
      <w:pPr>
        <w:spacing w:line="500" w:lineRule="exact"/>
        <w:ind w:firstLine="560" w:firstLineChars="200"/>
        <w:jc w:val="right"/>
        <w:rPr>
          <w:rFonts w:hint="eastAsia" w:ascii="仿宋_GB2312" w:hAnsi="仿宋_GB2312" w:eastAsia="仿宋_GB2312" w:cs="仿宋_GB2312"/>
          <w:sz w:val="28"/>
          <w:szCs w:val="28"/>
          <w:lang w:eastAsia="zh-CN"/>
        </w:rPr>
      </w:pPr>
    </w:p>
    <w:p>
      <w:pPr>
        <w:spacing w:line="500" w:lineRule="exact"/>
        <w:ind w:firstLine="560" w:firstLineChars="200"/>
        <w:jc w:val="right"/>
        <w:rPr>
          <w:rFonts w:hint="eastAsia" w:ascii="仿宋_GB2312" w:hAnsi="仿宋_GB2312" w:eastAsia="仿宋_GB2312" w:cs="仿宋_GB2312"/>
          <w:sz w:val="28"/>
          <w:szCs w:val="28"/>
          <w:lang w:eastAsia="zh-CN"/>
        </w:rPr>
      </w:pPr>
    </w:p>
    <w:p>
      <w:pPr>
        <w:spacing w:line="500" w:lineRule="exact"/>
        <w:ind w:firstLine="560" w:firstLineChars="200"/>
        <w:jc w:val="right"/>
        <w:rPr>
          <w:rFonts w:hint="eastAsia" w:ascii="仿宋_GB2312" w:hAnsi="仿宋_GB2312" w:eastAsia="仿宋_GB2312" w:cs="仿宋_GB2312"/>
          <w:sz w:val="28"/>
          <w:szCs w:val="28"/>
          <w:lang w:eastAsia="zh-CN"/>
        </w:rPr>
      </w:pPr>
    </w:p>
    <w:p>
      <w:pPr>
        <w:spacing w:line="500" w:lineRule="exact"/>
        <w:ind w:firstLine="560" w:firstLineChars="200"/>
        <w:jc w:val="right"/>
        <w:rPr>
          <w:rFonts w:hint="eastAsia" w:ascii="仿宋_GB2312" w:hAnsi="仿宋_GB2312" w:eastAsia="仿宋_GB2312" w:cs="仿宋_GB2312"/>
          <w:sz w:val="28"/>
          <w:szCs w:val="28"/>
          <w:lang w:eastAsia="zh-CN"/>
        </w:rPr>
      </w:pPr>
    </w:p>
    <w:p>
      <w:pPr>
        <w:spacing w:line="500" w:lineRule="exact"/>
        <w:ind w:firstLine="560" w:firstLineChars="200"/>
        <w:jc w:val="right"/>
        <w:rPr>
          <w:rFonts w:hint="eastAsia" w:ascii="仿宋_GB2312" w:hAnsi="仿宋_GB2312" w:eastAsia="仿宋_GB2312" w:cs="仿宋_GB2312"/>
          <w:sz w:val="28"/>
          <w:szCs w:val="28"/>
          <w:lang w:eastAsia="zh-CN"/>
        </w:rPr>
      </w:pPr>
    </w:p>
    <w:p>
      <w:pPr>
        <w:spacing w:line="500" w:lineRule="exact"/>
        <w:ind w:firstLine="560" w:firstLineChars="200"/>
        <w:jc w:val="right"/>
        <w:rPr>
          <w:rFonts w:hint="eastAsia" w:ascii="仿宋_GB2312" w:hAnsi="仿宋_GB2312" w:eastAsia="仿宋_GB2312" w:cs="仿宋_GB2312"/>
          <w:sz w:val="28"/>
          <w:szCs w:val="28"/>
          <w:lang w:eastAsia="zh-CN"/>
        </w:rPr>
      </w:pPr>
    </w:p>
    <w:p>
      <w:pPr>
        <w:spacing w:line="500" w:lineRule="exact"/>
        <w:ind w:firstLine="560" w:firstLineChars="200"/>
        <w:jc w:val="right"/>
        <w:rPr>
          <w:rFonts w:hint="eastAsia" w:ascii="仿宋_GB2312" w:hAnsi="仿宋_GB2312" w:eastAsia="仿宋_GB2312" w:cs="仿宋_GB2312"/>
          <w:sz w:val="28"/>
          <w:szCs w:val="28"/>
          <w:lang w:eastAsia="zh-CN"/>
        </w:rPr>
      </w:pPr>
    </w:p>
    <w:p>
      <w:pPr>
        <w:spacing w:line="500" w:lineRule="exact"/>
        <w:ind w:firstLine="560" w:firstLineChars="200"/>
        <w:jc w:val="right"/>
        <w:rPr>
          <w:rFonts w:hint="eastAsia" w:ascii="仿宋_GB2312" w:hAnsi="仿宋_GB2312" w:eastAsia="仿宋_GB2312" w:cs="仿宋_GB2312"/>
          <w:sz w:val="28"/>
          <w:szCs w:val="28"/>
          <w:lang w:eastAsia="zh-CN"/>
        </w:rPr>
      </w:pPr>
    </w:p>
    <w:p>
      <w:pPr>
        <w:spacing w:line="500" w:lineRule="exact"/>
        <w:jc w:val="center"/>
        <w:rPr>
          <w:rFonts w:hint="eastAsia" w:ascii="黑体" w:hAnsi="黑体" w:eastAsia="黑体" w:cs="仿宋_GB2312"/>
          <w:sz w:val="44"/>
          <w:szCs w:val="44"/>
          <w:lang w:eastAsia="zh-CN"/>
        </w:rPr>
      </w:pPr>
      <w:r>
        <w:rPr>
          <w:rFonts w:hint="eastAsia" w:ascii="黑体" w:hAnsi="黑体" w:eastAsia="黑体" w:cs="仿宋_GB2312"/>
          <w:sz w:val="44"/>
          <w:szCs w:val="44"/>
          <w:lang w:eastAsia="zh-CN"/>
        </w:rPr>
        <w:t>承</w:t>
      </w:r>
      <w:r>
        <w:rPr>
          <w:rFonts w:hint="eastAsia" w:ascii="黑体" w:hAnsi="黑体" w:eastAsia="黑体" w:cs="仿宋_GB2312"/>
          <w:sz w:val="44"/>
          <w:szCs w:val="44"/>
          <w:lang w:val="en-US" w:eastAsia="zh-CN"/>
        </w:rPr>
        <w:t xml:space="preserve"> </w:t>
      </w:r>
      <w:r>
        <w:rPr>
          <w:rFonts w:hint="eastAsia" w:ascii="黑体" w:hAnsi="黑体" w:eastAsia="黑体" w:cs="仿宋_GB2312"/>
          <w:sz w:val="44"/>
          <w:szCs w:val="44"/>
          <w:lang w:eastAsia="zh-CN"/>
        </w:rPr>
        <w:t>诺</w:t>
      </w:r>
      <w:r>
        <w:rPr>
          <w:rFonts w:hint="eastAsia" w:ascii="黑体" w:hAnsi="黑体" w:eastAsia="黑体" w:cs="仿宋_GB2312"/>
          <w:sz w:val="44"/>
          <w:szCs w:val="44"/>
          <w:lang w:val="en-US" w:eastAsia="zh-CN"/>
        </w:rPr>
        <w:t xml:space="preserve"> </w:t>
      </w:r>
      <w:r>
        <w:rPr>
          <w:rFonts w:hint="eastAsia" w:ascii="黑体" w:hAnsi="黑体" w:eastAsia="黑体" w:cs="仿宋_GB2312"/>
          <w:sz w:val="44"/>
          <w:szCs w:val="44"/>
          <w:lang w:eastAsia="zh-CN"/>
        </w:rPr>
        <w:t>函</w:t>
      </w:r>
    </w:p>
    <w:p>
      <w:pPr>
        <w:spacing w:line="460" w:lineRule="exact"/>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致：湖南湘村电子商务有限公司</w:t>
      </w:r>
    </w:p>
    <w:p>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根据贵方发布的《湖南湘村电子商务有</w:t>
      </w:r>
      <w:r>
        <w:rPr>
          <w:rFonts w:hint="eastAsia" w:ascii="仿宋_GB2312" w:hAnsi="仿宋_GB2312" w:eastAsia="仿宋_GB2312" w:cs="仿宋_GB2312"/>
          <w:b w:val="0"/>
          <w:bCs w:val="0"/>
          <w:sz w:val="28"/>
          <w:szCs w:val="28"/>
          <w:u w:val="none"/>
          <w:lang w:val="en-US" w:eastAsia="zh-CN"/>
        </w:rPr>
        <w:t>限公司关于合同纠纷诉讼代理服务标的三的采购公告</w:t>
      </w:r>
      <w:r>
        <w:rPr>
          <w:rFonts w:hint="eastAsia" w:ascii="仿宋_GB2312" w:hAnsi="仿宋_GB2312" w:eastAsia="仿宋_GB2312" w:cs="仿宋_GB2312"/>
          <w:sz w:val="28"/>
          <w:szCs w:val="28"/>
          <w:lang w:val="en-US" w:eastAsia="zh-CN"/>
        </w:rPr>
        <w:t>》，我司参与</w:t>
      </w:r>
      <w:bookmarkStart w:id="0" w:name="_GoBack"/>
      <w:bookmarkEnd w:id="0"/>
      <w:r>
        <w:rPr>
          <w:rFonts w:hint="eastAsia" w:ascii="仿宋_GB2312" w:hAnsi="仿宋_GB2312" w:eastAsia="仿宋_GB2312" w:cs="仿宋_GB2312"/>
          <w:sz w:val="28"/>
          <w:szCs w:val="28"/>
          <w:lang w:val="en-US" w:eastAsia="zh-CN"/>
        </w:rPr>
        <w:t>竞争性谈判。经我方代表与贵方选聘工作小组进行现场商谈后，我方参考谈判情况，愿意作出最新的报价（如与我司其他文件有不一致之处，以本函为准）。</w:t>
      </w:r>
    </w:p>
    <w:p>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关于服务费用的优惠报价，我方现郑重承诺如下：</w:t>
      </w:r>
    </w:p>
    <w:p>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36"/>
          <w:u w:val="single"/>
          <w:lang w:val="en-US" w:eastAsia="zh-CN"/>
        </w:rPr>
        <w:t>湖南湘村电子商务有限公司</w:t>
      </w:r>
      <w:r>
        <w:rPr>
          <w:rFonts w:hint="eastAsia" w:ascii="仿宋_GB2312" w:hAnsi="仿宋_GB2312" w:eastAsia="仿宋_GB2312" w:cs="仿宋_GB2312"/>
          <w:b w:val="0"/>
          <w:bCs w:val="0"/>
          <w:sz w:val="28"/>
          <w:szCs w:val="28"/>
          <w:u w:val="single"/>
          <w:lang w:val="en-US" w:eastAsia="zh-CN"/>
        </w:rPr>
        <w:t>合同纠纷诉讼代理服务标的三</w:t>
      </w:r>
      <w:r>
        <w:rPr>
          <w:rFonts w:hint="eastAsia" w:ascii="仿宋_GB2312" w:hAnsi="仿宋_GB2312" w:eastAsia="仿宋_GB2312" w:cs="仿宋_GB2312"/>
          <w:b w:val="0"/>
          <w:bCs w:val="0"/>
          <w:sz w:val="28"/>
          <w:szCs w:val="28"/>
          <w:u w:val="none"/>
          <w:lang w:val="en-US" w:eastAsia="zh-CN"/>
        </w:rPr>
        <w:t>的</w:t>
      </w:r>
      <w:r>
        <w:rPr>
          <w:rFonts w:hint="eastAsia" w:ascii="仿宋_GB2312" w:hAnsi="仿宋_GB2312" w:eastAsia="仿宋_GB2312" w:cs="仿宋_GB2312"/>
          <w:sz w:val="28"/>
          <w:szCs w:val="28"/>
          <w:lang w:val="en-US" w:eastAsia="zh-CN"/>
        </w:rPr>
        <w:t>服务费：总额人民币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元（小写￥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），其中固定金额基本代理费</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万元+风险代理费按实现债权金额的</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万元。</w:t>
      </w:r>
    </w:p>
    <w:p>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今后我方将按照此优惠计算收取服务费用，与贵方签订相关合同，并按合同约定完成全部工作。</w:t>
      </w:r>
    </w:p>
    <w:p>
      <w:pPr>
        <w:spacing w:line="500" w:lineRule="exact"/>
        <w:ind w:firstLine="560" w:firstLineChars="200"/>
        <w:rPr>
          <w:rFonts w:hint="eastAsia" w:ascii="仿宋_GB2312" w:hAnsi="仿宋_GB2312" w:eastAsia="仿宋_GB2312" w:cs="仿宋_GB2312"/>
          <w:sz w:val="28"/>
          <w:szCs w:val="28"/>
          <w:lang w:val="en-US" w:eastAsia="zh-CN"/>
        </w:rPr>
      </w:pPr>
    </w:p>
    <w:p>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承诺单位（公章）：        </w:t>
      </w:r>
    </w:p>
    <w:p>
      <w:pPr>
        <w:spacing w:line="500" w:lineRule="exact"/>
        <w:rPr>
          <w:rFonts w:hint="eastAsia" w:ascii="仿宋_GB2312" w:hAnsi="仿宋_GB2312" w:eastAsia="仿宋_GB2312" w:cs="仿宋_GB2312"/>
          <w:sz w:val="28"/>
          <w:szCs w:val="28"/>
          <w:lang w:val="en-US" w:eastAsia="zh-CN"/>
        </w:rPr>
      </w:pPr>
    </w:p>
    <w:p>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承诺代表（签字）：</w:t>
      </w:r>
    </w:p>
    <w:p>
      <w:pPr>
        <w:spacing w:line="500" w:lineRule="exact"/>
        <w:ind w:firstLine="560" w:firstLineChars="200"/>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日期：     年    月    日</w:t>
      </w:r>
    </w:p>
    <w:p>
      <w:pPr>
        <w:spacing w:line="500" w:lineRule="exact"/>
        <w:ind w:firstLine="560" w:firstLineChars="200"/>
        <w:jc w:val="right"/>
        <w:rPr>
          <w:rFonts w:hint="default" w:ascii="仿宋_GB2312" w:hAnsi="仿宋_GB2312" w:eastAsia="仿宋_GB2312" w:cs="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586A8"/>
    <w:multiLevelType w:val="singleLevel"/>
    <w:tmpl w:val="919586A8"/>
    <w:lvl w:ilvl="0" w:tentative="0">
      <w:start w:val="1"/>
      <w:numFmt w:val="chineseCounting"/>
      <w:suff w:val="nothing"/>
      <w:lvlText w:val="%1、"/>
      <w:lvlJc w:val="left"/>
      <w:rPr>
        <w:rFonts w:hint="eastAsia"/>
      </w:rPr>
    </w:lvl>
  </w:abstractNum>
  <w:abstractNum w:abstractNumId="1">
    <w:nsid w:val="7F15A6FB"/>
    <w:multiLevelType w:val="singleLevel"/>
    <w:tmpl w:val="7F15A6F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Nzg0MjAxNDRmODMwZWI0YzdjZDZjYzEyNzUwZjIifQ=="/>
  </w:docVars>
  <w:rsids>
    <w:rsidRoot w:val="358F2E61"/>
    <w:rsid w:val="001B3EF6"/>
    <w:rsid w:val="002B06D1"/>
    <w:rsid w:val="00A91AEC"/>
    <w:rsid w:val="00BC5C3E"/>
    <w:rsid w:val="00C81280"/>
    <w:rsid w:val="01D2372C"/>
    <w:rsid w:val="023B2140"/>
    <w:rsid w:val="036009CB"/>
    <w:rsid w:val="03B92498"/>
    <w:rsid w:val="04596318"/>
    <w:rsid w:val="049D76C3"/>
    <w:rsid w:val="0562632F"/>
    <w:rsid w:val="058F6548"/>
    <w:rsid w:val="05917228"/>
    <w:rsid w:val="06F118E3"/>
    <w:rsid w:val="06F444C3"/>
    <w:rsid w:val="08144141"/>
    <w:rsid w:val="08EC685B"/>
    <w:rsid w:val="09646A02"/>
    <w:rsid w:val="09905E87"/>
    <w:rsid w:val="09E267A0"/>
    <w:rsid w:val="0A0A1C20"/>
    <w:rsid w:val="0A2F5262"/>
    <w:rsid w:val="0B8D0492"/>
    <w:rsid w:val="0CB52EBB"/>
    <w:rsid w:val="0D1D6BDB"/>
    <w:rsid w:val="0D2656A6"/>
    <w:rsid w:val="0E407C33"/>
    <w:rsid w:val="0EB83A78"/>
    <w:rsid w:val="0F116899"/>
    <w:rsid w:val="0F234C69"/>
    <w:rsid w:val="0F3A448D"/>
    <w:rsid w:val="0FC94E26"/>
    <w:rsid w:val="106043C7"/>
    <w:rsid w:val="111E456B"/>
    <w:rsid w:val="122D652B"/>
    <w:rsid w:val="140952C2"/>
    <w:rsid w:val="144638D4"/>
    <w:rsid w:val="150317C5"/>
    <w:rsid w:val="154C4F1A"/>
    <w:rsid w:val="15692FBF"/>
    <w:rsid w:val="163B662E"/>
    <w:rsid w:val="16723797"/>
    <w:rsid w:val="171A64F6"/>
    <w:rsid w:val="172A3039"/>
    <w:rsid w:val="18F06D07"/>
    <w:rsid w:val="194F322A"/>
    <w:rsid w:val="198F399F"/>
    <w:rsid w:val="199F1FA1"/>
    <w:rsid w:val="1A613DEB"/>
    <w:rsid w:val="1AE1047B"/>
    <w:rsid w:val="1B851185"/>
    <w:rsid w:val="1B943F37"/>
    <w:rsid w:val="1BAF1D5E"/>
    <w:rsid w:val="1BF05696"/>
    <w:rsid w:val="1DC35F95"/>
    <w:rsid w:val="1DE2466D"/>
    <w:rsid w:val="1E212DD8"/>
    <w:rsid w:val="1E356CF3"/>
    <w:rsid w:val="1E465853"/>
    <w:rsid w:val="1E8219AC"/>
    <w:rsid w:val="1EEC32CA"/>
    <w:rsid w:val="1F1C600E"/>
    <w:rsid w:val="1F867670"/>
    <w:rsid w:val="204347E6"/>
    <w:rsid w:val="22565377"/>
    <w:rsid w:val="23103A2A"/>
    <w:rsid w:val="23AE7537"/>
    <w:rsid w:val="23B32608"/>
    <w:rsid w:val="23C17DC8"/>
    <w:rsid w:val="245B6F27"/>
    <w:rsid w:val="2500362B"/>
    <w:rsid w:val="252A5806"/>
    <w:rsid w:val="2547124D"/>
    <w:rsid w:val="26123616"/>
    <w:rsid w:val="2642189C"/>
    <w:rsid w:val="265D7F2A"/>
    <w:rsid w:val="269C3827"/>
    <w:rsid w:val="29201EB9"/>
    <w:rsid w:val="296004F8"/>
    <w:rsid w:val="29756EB4"/>
    <w:rsid w:val="299F78B6"/>
    <w:rsid w:val="29DA269C"/>
    <w:rsid w:val="2A21651D"/>
    <w:rsid w:val="2A862824"/>
    <w:rsid w:val="2B13639B"/>
    <w:rsid w:val="2B486052"/>
    <w:rsid w:val="2BD26F30"/>
    <w:rsid w:val="2C5D6125"/>
    <w:rsid w:val="2C9E468E"/>
    <w:rsid w:val="2CB01DDA"/>
    <w:rsid w:val="2CB904B4"/>
    <w:rsid w:val="2CCD473A"/>
    <w:rsid w:val="2DE764DE"/>
    <w:rsid w:val="2E3D1C36"/>
    <w:rsid w:val="2E9B73CF"/>
    <w:rsid w:val="2ECF360C"/>
    <w:rsid w:val="2FB971F8"/>
    <w:rsid w:val="2FC516F9"/>
    <w:rsid w:val="30735E7E"/>
    <w:rsid w:val="32560D2E"/>
    <w:rsid w:val="32FA3DAF"/>
    <w:rsid w:val="330B1B3D"/>
    <w:rsid w:val="33CF7C33"/>
    <w:rsid w:val="34692F9B"/>
    <w:rsid w:val="356A44E4"/>
    <w:rsid w:val="358D1339"/>
    <w:rsid w:val="358F2E61"/>
    <w:rsid w:val="36415482"/>
    <w:rsid w:val="368E7E4F"/>
    <w:rsid w:val="36A24542"/>
    <w:rsid w:val="36C24173"/>
    <w:rsid w:val="370D74F4"/>
    <w:rsid w:val="373F17B2"/>
    <w:rsid w:val="37CD4981"/>
    <w:rsid w:val="37FC0DE1"/>
    <w:rsid w:val="388060BC"/>
    <w:rsid w:val="399F745E"/>
    <w:rsid w:val="39BF08E5"/>
    <w:rsid w:val="39C83B1B"/>
    <w:rsid w:val="39DF791F"/>
    <w:rsid w:val="3B1E7FC8"/>
    <w:rsid w:val="3B5A188F"/>
    <w:rsid w:val="3B732951"/>
    <w:rsid w:val="3BDF3B42"/>
    <w:rsid w:val="3C2B322B"/>
    <w:rsid w:val="3C5C5193"/>
    <w:rsid w:val="3DA8061B"/>
    <w:rsid w:val="3FEC39BC"/>
    <w:rsid w:val="4006184B"/>
    <w:rsid w:val="400A4965"/>
    <w:rsid w:val="407A0D74"/>
    <w:rsid w:val="40BF1ABB"/>
    <w:rsid w:val="41350D1C"/>
    <w:rsid w:val="419F275A"/>
    <w:rsid w:val="41AF3CD7"/>
    <w:rsid w:val="41C6300E"/>
    <w:rsid w:val="41DE4B46"/>
    <w:rsid w:val="423F17DF"/>
    <w:rsid w:val="42894808"/>
    <w:rsid w:val="43431778"/>
    <w:rsid w:val="438927A9"/>
    <w:rsid w:val="45026EC6"/>
    <w:rsid w:val="450A60D4"/>
    <w:rsid w:val="45EE2695"/>
    <w:rsid w:val="463D4287"/>
    <w:rsid w:val="46C076E4"/>
    <w:rsid w:val="47302F6B"/>
    <w:rsid w:val="47605B91"/>
    <w:rsid w:val="4770243A"/>
    <w:rsid w:val="493A5D1E"/>
    <w:rsid w:val="49DA3B9B"/>
    <w:rsid w:val="4A1C00D7"/>
    <w:rsid w:val="4A20088A"/>
    <w:rsid w:val="4A985F30"/>
    <w:rsid w:val="4C194E4E"/>
    <w:rsid w:val="4C771B5E"/>
    <w:rsid w:val="4CAD0BB5"/>
    <w:rsid w:val="4CE10DBB"/>
    <w:rsid w:val="4CF24602"/>
    <w:rsid w:val="4D8B1D7C"/>
    <w:rsid w:val="4DD51249"/>
    <w:rsid w:val="4DE41679"/>
    <w:rsid w:val="4E5D35AC"/>
    <w:rsid w:val="4EA36C51"/>
    <w:rsid w:val="4EB66985"/>
    <w:rsid w:val="4FB530E0"/>
    <w:rsid w:val="502D77BE"/>
    <w:rsid w:val="5032028D"/>
    <w:rsid w:val="50814DDB"/>
    <w:rsid w:val="517843C5"/>
    <w:rsid w:val="52083591"/>
    <w:rsid w:val="52497B10"/>
    <w:rsid w:val="53002E3B"/>
    <w:rsid w:val="53127CFD"/>
    <w:rsid w:val="537137C2"/>
    <w:rsid w:val="54F77CF7"/>
    <w:rsid w:val="551408A9"/>
    <w:rsid w:val="551E34D6"/>
    <w:rsid w:val="559E0172"/>
    <w:rsid w:val="564D4072"/>
    <w:rsid w:val="56AE0CE8"/>
    <w:rsid w:val="57E760F6"/>
    <w:rsid w:val="5851280D"/>
    <w:rsid w:val="587E1D6D"/>
    <w:rsid w:val="58A56D12"/>
    <w:rsid w:val="58BA73F7"/>
    <w:rsid w:val="594F3C5E"/>
    <w:rsid w:val="59D625D1"/>
    <w:rsid w:val="5A897643"/>
    <w:rsid w:val="5AA61FA3"/>
    <w:rsid w:val="5B6065F6"/>
    <w:rsid w:val="5BFD6FE0"/>
    <w:rsid w:val="5C384E7D"/>
    <w:rsid w:val="5C4A749D"/>
    <w:rsid w:val="5C606182"/>
    <w:rsid w:val="5C7A36E7"/>
    <w:rsid w:val="5C981DBF"/>
    <w:rsid w:val="5CE46835"/>
    <w:rsid w:val="5D4107F0"/>
    <w:rsid w:val="5D560069"/>
    <w:rsid w:val="5D627D55"/>
    <w:rsid w:val="5DBB6C54"/>
    <w:rsid w:val="5EF07EF4"/>
    <w:rsid w:val="5F36600F"/>
    <w:rsid w:val="5F48748E"/>
    <w:rsid w:val="5F8B545C"/>
    <w:rsid w:val="601C4AB5"/>
    <w:rsid w:val="60A800F7"/>
    <w:rsid w:val="60DE5A49"/>
    <w:rsid w:val="60E80643"/>
    <w:rsid w:val="6190049D"/>
    <w:rsid w:val="61CA2A1B"/>
    <w:rsid w:val="62155CB4"/>
    <w:rsid w:val="62316037"/>
    <w:rsid w:val="62B618E2"/>
    <w:rsid w:val="630C7063"/>
    <w:rsid w:val="634F5EE7"/>
    <w:rsid w:val="63597522"/>
    <w:rsid w:val="6397692D"/>
    <w:rsid w:val="63D10B29"/>
    <w:rsid w:val="648C220A"/>
    <w:rsid w:val="652F7039"/>
    <w:rsid w:val="66A35754"/>
    <w:rsid w:val="66BC2921"/>
    <w:rsid w:val="67413A17"/>
    <w:rsid w:val="67762CFD"/>
    <w:rsid w:val="677D0530"/>
    <w:rsid w:val="68253ABB"/>
    <w:rsid w:val="686A367F"/>
    <w:rsid w:val="690E2B8E"/>
    <w:rsid w:val="691E5254"/>
    <w:rsid w:val="69B772B0"/>
    <w:rsid w:val="6B581098"/>
    <w:rsid w:val="6BA1550F"/>
    <w:rsid w:val="6BC64D9B"/>
    <w:rsid w:val="6CE81FA7"/>
    <w:rsid w:val="6D3338D4"/>
    <w:rsid w:val="6DC81DD9"/>
    <w:rsid w:val="6E1B015A"/>
    <w:rsid w:val="6EA36ACE"/>
    <w:rsid w:val="6F04549B"/>
    <w:rsid w:val="6F1E45A6"/>
    <w:rsid w:val="6F493D81"/>
    <w:rsid w:val="6F735CA8"/>
    <w:rsid w:val="6FBD5D85"/>
    <w:rsid w:val="70E03AF4"/>
    <w:rsid w:val="70EA2C40"/>
    <w:rsid w:val="70F133F4"/>
    <w:rsid w:val="70F33611"/>
    <w:rsid w:val="71AF12E6"/>
    <w:rsid w:val="71DE0417"/>
    <w:rsid w:val="72AA75E5"/>
    <w:rsid w:val="72C708F5"/>
    <w:rsid w:val="72EB459F"/>
    <w:rsid w:val="72FD0776"/>
    <w:rsid w:val="739F35DC"/>
    <w:rsid w:val="73AA3A4F"/>
    <w:rsid w:val="73CC0321"/>
    <w:rsid w:val="749324D7"/>
    <w:rsid w:val="74F55BA9"/>
    <w:rsid w:val="75864A53"/>
    <w:rsid w:val="77403B29"/>
    <w:rsid w:val="77AA2FAE"/>
    <w:rsid w:val="77EF4B32"/>
    <w:rsid w:val="78F953B1"/>
    <w:rsid w:val="797B7AD9"/>
    <w:rsid w:val="79D32357"/>
    <w:rsid w:val="7ABE3DA5"/>
    <w:rsid w:val="7AE731CB"/>
    <w:rsid w:val="7BA93D36"/>
    <w:rsid w:val="7C991510"/>
    <w:rsid w:val="7CA00D26"/>
    <w:rsid w:val="7D4128E4"/>
    <w:rsid w:val="7D676F18"/>
    <w:rsid w:val="7F2D18D7"/>
    <w:rsid w:val="7F3437BD"/>
    <w:rsid w:val="7F3C536E"/>
    <w:rsid w:val="7F5719D0"/>
    <w:rsid w:val="7F8639A0"/>
    <w:rsid w:val="7FA97CBC"/>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7"/>
    <w:basedOn w:val="1"/>
    <w:next w:val="1"/>
    <w:qFormat/>
    <w:uiPriority w:val="0"/>
    <w:pPr>
      <w:keepNext/>
      <w:keepLines/>
      <w:adjustRightInd w:val="0"/>
      <w:spacing w:before="240" w:after="64" w:line="320" w:lineRule="atLeast"/>
      <w:ind w:left="2940" w:hanging="420"/>
      <w:textAlignment w:val="baseline"/>
      <w:outlineLvl w:val="6"/>
    </w:pPr>
    <w:rPr>
      <w:rFonts w:ascii="Times New Roman" w:hAnsi="Times New Roman" w:eastAsia="宋体" w:cs="Times New Roman"/>
      <w:b/>
      <w:kern w:val="0"/>
      <w:sz w:val="24"/>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able of figures"/>
    <w:basedOn w:val="1"/>
    <w:next w:val="1"/>
    <w:qFormat/>
    <w:uiPriority w:val="0"/>
    <w:pPr>
      <w:ind w:left="200" w:leftChars="200" w:hanging="200" w:hangingChars="200"/>
    </w:pPr>
    <w:rPr>
      <w:rFonts w:ascii="Times New Roman" w:hAnsi="Times New Roman" w:eastAsia="宋体" w:cs="Times New Roman"/>
      <w:szCs w:val="24"/>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列出段落1"/>
    <w:basedOn w:val="11"/>
    <w:next w:val="2"/>
    <w:qFormat/>
    <w:uiPriority w:val="0"/>
    <w:pPr>
      <w:ind w:firstLine="420" w:firstLineChars="200"/>
    </w:pPr>
    <w:rPr>
      <w:rFonts w:ascii="Calibri" w:hAnsi="Calibri" w:eastAsia="宋体" w:cs="Times New Roman"/>
    </w:rPr>
  </w:style>
  <w:style w:type="paragraph" w:customStyle="1" w:styleId="11">
    <w:name w:val="正文_10_4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5976</Words>
  <Characters>6211</Characters>
  <Lines>0</Lines>
  <Paragraphs>0</Paragraphs>
  <TotalTime>0</TotalTime>
  <ScaleCrop>false</ScaleCrop>
  <LinksUpToDate>false</LinksUpToDate>
  <CharactersWithSpaces>6519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2023-10-07T07:39:00Z</dcterms:created>
  <dc:creator>譚登</dc:creator>
  <cp:lastModifiedBy>LY</cp:lastModifiedBy>
  <cp:lastPrinted>2023-10-25T07:27:00Z</cp:lastPrinted>
  <dcterms:modified xsi:type="dcterms:W3CDTF">2023-11-24T08:09:29Z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3580B0D0D03B43A8BA1181D8C7D33550_13</vt:lpwstr>
  </property>
</Properties>
</file>